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815/2011 vom 22. Februar 2012</w:t>
      </w:r>
    </w:p>
    <w:p>
      <w:r>
        <w:t>Bundesgericht, 2012-02-22, DE</w:t>
      </w:r>
    </w:p>
    <w:p>
      <w:r>
        <w:rPr>
          <w:b/>
        </w:rPr>
        <w:t xml:space="preserve">Quelle: </w:t>
      </w:r>
      <w:r>
        <w:t>https://mcp.opencaselaw.ch/entscheid/bger_9C_815_2011</w:t>
      </w:r>
    </w:p>
    <w:p>
      <w:r>
        <w:t>FR: TF 9C 815/2011 du 22 février 2012</w:t>
      </w:r>
    </w:p>
    <w:p>
      <w:r>
        <w:t>IT: TF 9C 815/2011 del 22 febbraio 2012</w:t>
      </w:r>
    </w:p>
    <w:p>
      <w:pPr>
        <w:pStyle w:val="Heading2"/>
      </w:pPr>
      <w:r>
        <w:t>Regeste</w:t>
      </w:r>
    </w:p>
    <w:p>
      <w:r>
        <w:t>Berufliche Vorsorge | Berufliche Vorsorge</w:t>
      </w:r>
    </w:p>
    <w:p>
      <w:pPr>
        <w:pStyle w:val="Heading2"/>
      </w:pPr>
      <w:r>
        <w:t>Erwägungen</w:t>
      </w:r>
    </w:p>
    <w:p>
      <w:r>
        <w:rPr>
          <w:b/>
        </w:rPr>
        <w:t>E. 1</w:t>
      </w:r>
    </w:p>
    <w:p>
      <w:r>
        <w:t>Das Bundesgericht prüft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 2a, 119 V 11 E. 1 S. 12; SVR 2011 KV Nr. 9 S. 39; Urteil des Eidgenössischen Versicherungsgerichts B 91/04 vom 5. Oktober 2005).</w:t>
      </w:r>
    </w:p>
    <w:p>
      <w:r>
        <w:rPr>
          <w:b/>
        </w:rPr>
        <w:t>E. 2</w:t>
      </w:r>
    </w:p>
    <w:p>
      <w:r>
        <w:t>Nach Art. 73 Abs. 1 Satz 1 BVG in der seit 1. Januar 2005 in Kraft stehenden, vorliegend anwendbaren Fassung bezeichnet jeder Kanton ein Gericht, das als letzte kantonale Instanz über Streitigkeiten zwischen Vorsorgeeinrichtungen, Arbeitgebern und Anspruchsberechtigten entscheidet. Nach der Rechtsprechung können unter die Streitigkeiten im Sinne dieser Bestimmung auch solche zwischen Arbeitgeber und Arbeitnehmer fallen, soweit es dabei um spezifische Fragen der beruflichen Vorsorge geht, wie etwa um die BVG-rechtliche Verpflichtung des Arbeitgebers, den Beitragsanteil des Arbeitnehmers vom Lohn abzuziehen und der Vorsorgeeinrichtung zu überweisen oder um arbeitsvertragliche oder öffentlich-rechtliche Beitragsverpflichtungen des Arbeitgebers zugunsten der Vorsorgeeinrichtung (SZS 1990 S. 201, B 5/87). Im Urteil B 36/99 vom 15. März 2000 hat das Eidgenössische Versicherungsgericht diese Rechtsprechung bestätigt. Es hielt wiederum fest, dass die sachliche Zuständigkeit der in Art. 73 BVG bezeichneten Gerichte auch gegeben sei, wenn sich im Prozess Arbeitgeber und Arbeitnehmer gegenüberstehen und es um eine spezifische berufsvorsorgerechtliche Frage im engeren oder weiteren Sinn geht. Ebenso als Streitigkeit zwischen Arbeitgeber und Arbeitnehmer gemäss dieser Bestimmung qualifizierte das Eidgenössische Versicherungsgericht das Begehren um Nachzahlung von Beiträgen, das heisst Meldung eines höheren versicherten Verdienstes und Bezahlung entsprechend höherer Beiträge, wobei es die Passivlegitimation der Gemeinde im Klageverfahren bejahte (SZS 2002 S. 499, B 4/99).</w:t>
      </w:r>
    </w:p>
    <w:p>
      <w:r>
        <w:rPr>
          <w:b/>
        </w:rPr>
        <w:t>E. 3.1</w:t>
      </w:r>
    </w:p>
    <w:p>
      <w:r>
        <w:t>Im vorliegenden Fall ist die Höhe der Zusatzgutschriften streitig, auf welche die Beschwerdeführer aufgrund der von der Einwohnergemeinde X.________ dem Personal beim Übergang von der Aargauischen Pensionskasse zur Transparenta und bei dem damit einhergehenden Systemwechsel gewährten teilweisen Besitzstandsgarantie Anspruch haben. Vom Umfang der Zusatzgutschriften, welche die Einwohnergemeinde X.________ der Transparenta zugunsten des Beschwerdeführers 1 als ehemaligem Mitarbeiter und der Beschwerdeführerin 2, Witwe des am 21. August 2010 verstorbenen früheren Mitarbeiters M.________, zu überweisen hat, hängt die Höhe der Altersrente des Beschwerdeführers 1 und der Witwenrente der Beschwerdeführerin 2 ab. Es handelt sich demnach um einen Rechtsstreit zwischen ehemaligen Arbeitnehmern und ehemaliger Arbeitgeberin; zu prüfen sind spezifische Fragen der beruflichen Vorsorge, vergleichbar mit denjenigen, welche vorstehend (vgl. E. 2 hievor) wiedergegeben wurden. Dass sich die eingeklagten Ansprüche nicht gegen die Pensionskasse richten, ist in Bezug auf die sachliche Zuständigkeit nicht entscheidend, weil von Art. 73 Abs. 1 BVG auch Klagen des Arbeitnehmers gegen den Arbeitgeber erfasst werden. Aus diesem Grund lässt sich die Zuständigkeit des Personalrekursgerichts entgegen E. 2 des angefochtenen Entscheides nicht daraus ableiten, dass die Streitfrage, ob die Einwohnergemeinde X.________ den Beschwerdeführern weitere Zusatzgutschriften leisten muss, das Anstellungsverhältnis und nicht das Verhältnis zwischen den Versicherten oder der Gemeinde einerseits und der Transparenta andererseits betrifft.</w:t>
      </w:r>
    </w:p>
    <w:p>
      <w:r>
        <w:rPr>
          <w:b/>
        </w:rPr>
        <w:t>E. 3.2.1</w:t>
      </w:r>
    </w:p>
    <w:p>
      <w:r>
        <w:t>Die im Rahmen des zweiten Schriftenwechsels von der Vorinstanz und den Parteien vorgetragenen Argumente sind ebenfalls nicht geeignet, die Zuständigkeit des Berufsvorsorgegerichts zur Beurteilung der beim Personalrekursgericht eingereichten Klage vom 17. März 2010 in Zweifel zu ziehen.</w:t>
      </w:r>
    </w:p>
    <w:p>
      <w:r>
        <w:rPr>
          <w:b/>
        </w:rPr>
        <w:t>E. 3.2.2</w:t>
      </w:r>
    </w:p>
    <w:p>
      <w:r>
        <w:t>Ob es sich, wie die Einwohnergemeinde geltend macht, bei den im Zusammenhang mit dem Wechsel der Pensionskasse und dem Übergang zum Beitragsprimat geleisteten Gutschriften, die auf einem von der Einwohnergemeindeversammlung vom 11. September 2007 bewilligten Verpflichtungskredit beruhen, um freiwillige Leistungen der Arbeitgeberin zugunsten des Personals handelt, kann offenbleiben, da sich deswegen an der Zuständigkeit des Gerichts nach Art. 73 BVG nichts ändern würde ( BGE 130 V 80 E. 3.3 S. 84 f.)</w:t>
      </w:r>
    </w:p>
    <w:p>
      <w:r>
        <w:rPr>
          <w:b/>
        </w:rPr>
        <w:t>E. 3.2.3</w:t>
      </w:r>
    </w:p>
    <w:p>
      <w:r>
        <w:t>Die von der Vorinstanz zugunsten ihres Standpunktes angeführten Urteile wiederum sind allesamt nicht einschlägig: BGE 122 III 57 betrifft die Auslegung und Anwendung einer arbeitsvertraglichen Klausel; offensichtlich lag keine berufsvorsorgerechtliche Streitigkeit vor. BGE 127 V 29 hatte ein kommunales Reglement zum Gegenstand, das den Übergang zwischen der Aufgabe der Erwerbstätigkeit und dem Eintritt der Beamten ins Rentenalter versichert. In BGE 120 V 26 verneinte das Eidgenössische Versicherungsgericht das Vorliegen eines spezifisch vorsorgerechtlichen Streits und damit die Zuständigkeit der Rechtspflegeorgane nach Art. 73 BVG in einem Fall, in welchem der Arbeitnehmer gegen seinen ehemaligen Arbeitgeber auf Auszahlung des Differenzbetrages zwischen den Leistungen der Pensionskasse und der höheren Minimalleistung bei Invalidität gemäss Gesamtarbeitsvertrag klagte. In BGE 120 V 340 ging es um die vorsorgerechtliche Durchsetzbarkeit gesamtarbeitsvertraglicher Bestimmungen. Als unzuständig bezeichnet wurde der BVG-Richter auch zur Beurteilung der Frage, ob ein Versicherter gestützt auf einen Gesamtarbeitsvertrag höhere Freizügigkeitsleistungen beanspruchen kann, als ihm nach Gesetz und Reglement zustehen. Diesen Fällen ist gemeinsam, dass ihnen kein berufsvorsorgespezifischer Rechtsstreit zugrunde gelegen hat.</w:t>
      </w:r>
    </w:p>
    <w:p>
      <w:r>
        <w:rPr>
          <w:b/>
        </w:rPr>
        <w:t>E. 3.2.4</w:t>
      </w:r>
    </w:p>
    <w:p>
      <w:r>
        <w:t>Schliesslich bringen auch die Beschwerdeführer keine stichhaltigen Argumente für die sachliche Zuständigkeit des klageweise angerufenen Personalrekursgerichts vor. Es trifft zu, dass sich der eingeklagte Anspruch nicht im Verhältnis zwischen der Einwohnergemeinde X.________ und deren Pensionskasse begründet. Hingegen liegt eine Streitigkeit zwischen ehemaligen Arbeitnehmern und Arbeitgeberin über einen typischen berufsvorsorgerechtlichen Anspruch (behauptetes Recht auf höhere Zusatzgutschriften) vor, deren Beurteilung dem nach Art. 73 Abs. 1 BVG zuständigen Gericht, somit dem Versicherungsgericht des Kantons Aargau, obliegt (§ 1 der Verordnung des Kantons Aargau über die Rechtspflege in der beruflichen Vorsorge vom 2. Juli 1984; SAR 271.133). Dementsprechend ist der angefochtene Entscheid zufolge sachlicher Unzuständigkeit des Personalrekursgerichts, welches auf Nichteintreten auf die Klage hätte erkennen sollen, von Amtes wegen aufzuheben.</w:t>
      </w:r>
    </w:p>
    <w:p>
      <w:r>
        <w:rPr>
          <w:b/>
        </w:rPr>
        <w:t>E. 4</w:t>
      </w:r>
    </w:p>
    <w:p>
      <w:r>
        <w:t>Dieser Verfahrensausgang rechtfertigt weder die Auferlegung von Gerichtskosten noch die Zusprechung von Parteientschädigungen ( Art. 66,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