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9C_813/2013 vom 27. Januar 2014</w:t>
      </w:r>
    </w:p>
    <w:p>
      <w:r>
        <w:t>Bundesgericht, 2014-01-27, DE</w:t>
      </w:r>
    </w:p>
    <w:p>
      <w:r>
        <w:rPr>
          <w:b/>
        </w:rPr>
        <w:t xml:space="preserve">Quelle: </w:t>
      </w:r>
      <w:r>
        <w:t>https://mcp.opencaselaw.ch/entscheid/bger_9C_813_2013</w:t>
      </w:r>
    </w:p>
    <w:p>
      <w:r>
        <w:t>FR: TF 9C_813/2013 du 27 janvier 2014</w:t>
      </w:r>
    </w:p>
    <w:p>
      <w:r>
        <w:t>IT: TF 9C_813/2013 del 27 gennaio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Bei einer Beschwerde, die sich gegen einen in Anwendung kantonalen Rechts ergangenen Entscheid richtet, bildet die Verletzung blossen kantonalen Rechts keinen selbstständigen Beschwerdegrund. Vielmehr hat die Beschwerde führende Person darzulegen, inwiefern der beanstandete Akt gegen verfassungsmässige Rechte verstossen soll ( BGE 135 V 94 E. 1 S. 95). Hinsichtlich der Verletzung von Grundrechten (einschliesslich der willkürlichen Anwendung von kantonalem Recht und Willkür bei der Sachverhaltsfeststellung; BGE 134 II 244 E. 2.2 S. 246, 133 II 249 E. 1.4.3 S. 255) gilt der in Art. 106 Abs. 1 BGG verankerte Grundsatz der Rechtsanwendung von Amtes wegen nicht, weshalb insofern eine qualifizierte Rügepflicht besteht ( Art. 106 Abs. 2 BGG ; BGE 138 I 171 E. 1.4 S. 176, 136 I 65 E. 1.3.1 S. 68, 135 V 94 E. 1 S. 95, 133 II 249 E. 1.4.2 S. 254; Urteil 8C_520/2013 vom 10. September 2013).</w:t>
      </w:r>
    </w:p>
    <w:p>
      <w:r>
        <w:rPr>
          <w:b/>
        </w:rPr>
        <w:t>E. 2</w:t>
      </w:r>
    </w:p>
    <w:p>
      <w:r>
        <w:t>Laut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w:t>
      </w:r>
    </w:p>
    <w:p>
      <w:r>
        <w:t>Bundesrechtliche Vorschriften zur Auferlegung der Verfahrens- und Parteikosten finden sich im Sozialversicherungsrecht mit Ausnahme dieser Normen nicht. Die Bestimmungen des Kantons Solothurn (§ 1 Abs. 3 der Verordnung des Kantonsrates über das Verfahren vor dem Versicherungsgericht und über die Organisation und das Verfahren der Schiedsgerichte in den Sozialversicherungen vom 22. September 1987, in der seit 1. Januar 2008 geltenden Fassung, in Verbindung mit § 77 Abs. 1 des Gesetzes über den Rechtsschutz in Verwaltungssachen vom 15. November 1970, in der seit 1. Januar 2013 geltenden Fassung, erklären Art. 106-109 der Schweizerischen Zivilprozessordnung als sinngemäss anwendbar. Gestützt auf Art. 108 ZPO , wonach unnötige Prozesskosten zu bezahlen hat, wer sie verursacht hat, hat das kantonale Gericht der Beschwerdeführerin trotz vollständigen Obsiegens im Verfahren betreffend Invalidenrente und Rückweisung hinsichtlich Hilflosenentschädigung an die Verwaltung, was rechtsprechungsgemäss einem vollständigen Obsiegen gleichkommt, in Dispositiv-Ziffer 6 des Entscheides vom 20. März 2013 die Hälfte der Gerichtskosten auferlegt sowie in Dispositiv-Ziffer 4 lediglich eine um die Hälfte reduzierte Parteientschädigung zugesprochen. Zur Begründung hielt es fest, das Verfahren betreffend den Anspruch auf Hilflosenentschädigung habe die Beschwerdeführerin verursacht. Sie habe auf den Vorbescheid vom 29. August 2011 nicht reagiert, obwohl sie mit den Feststellungen im Abklärungsbericht nicht einverstanden war. Entsprechende Einwände habe sie erst mit der Beschwerde vorgebracht. Auch über den Umstand, dass sich die Versicherte nach vorgängigem Klinikaufenthalt ab 14. September 2011 weiterhin stationär in einer Klinik aufhielt, sei die IV-Stelle vor Erlass der Verfügung vom 23. Dezember 2011 nicht informiert worden. Als diese Verfügung erlassen wurde, hätten die Berichte der Privatklinik X.________, einschliesslich des Austrittsberichts vom 21. November 2011, seit längerer Zeit vorgelegen. Dass ihr Vertreter erst im Januar 2012 in den Besitz dieses Berichts gelangte, sei unerheblich. Mit Blick darauf, dass der Klinikaufenthalt schon am 25. Oktober 2011 geendet hatte, wäre die Beschwerdeführerin in der Lage und unter dem Aspekt der allgemeinen Mitwirkungspflicht sowie des Grundsatzes von Treu und Glauben auch gehalten gewesen, diesen Bericht vor Erlass der Verfügung vom 23. Dezember 2011 erhältlich zu machen oder zumindest die IV-Stelle auf den zusätzlichen Klinikaufenthalt, dessen zwischenzeitliche Beendigung und den noch ausstehenden Austrittsbericht hinzuweisen. Diesfalls hätte die IV-Stelle vor Verfügungserlass die neuen, dem Abklärungsbericht teilweise widersprechenden Informationen zur Kenntnis nehmen und die Abklärungen von sich aus ergänzen können. Dadurch hätte sich das Rechtsmittelverfahren mit überwiegender Wahrscheinlichkeit vermeiden lassen. Die Versicherte habe das Beschwerdeverfahren verursacht; dementsprechend habe sie die darauf entfallenden Kosten zu tragen.</w:t>
      </w:r>
    </w:p>
    <w:p>
      <w:r>
        <w:rPr>
          <w:b/>
        </w:rPr>
        <w:t>E. 3.1</w:t>
      </w:r>
    </w:p>
    <w:p>
      <w:r>
        <w:t>Der vorinstanzliche Entscheid vom 20. März 2013, soweit angefochten, ist in Anwendung kantonalen Rechts ergangen, woran nichts ändert, dass die Bestimmungen der Schweizerischen Zivilprozessordnung, auf welche die kantonalen Verweisungsnormen Bezug nehmen, dem Bundesrecht angehören. Das Fehlen einer bundesgesetzlichen Regelung veranlasste den Gesetzgeber des Kantons Solothurn, selbst eine Lösung zu treffen, die darin besteht, die Bestimmungen der Schweizerischen Zivilprozessordnung in diesem Punkt für das kantonale Verwaltungs- und Verwaltungsbeschwerdeverfahren als analog anwendbar zu erklären. Kraft der Verweise im kantonalen Prozessrecht gehören die entsprechenden ZPO-Bestimmungen im vorliegenden Zusammenhang nicht dem Bundesrecht, sondern dem Prozessrecht des Kantons Solothurn an.</w:t>
      </w:r>
    </w:p>
    <w:p>
      <w:r>
        <w:rPr>
          <w:b/>
        </w:rPr>
        <w:t>E. 3.2</w:t>
      </w:r>
    </w:p>
    <w:p>
      <w:r>
        <w:t>Die Beschwerdeführerin setzt sich mit der Zulässigkeit der Kostenauferlegung an die obsiegende Partei auseinander und macht des Weiteren mit einlässlicher Begründung geltend, die vorinstanzlich bejahte Verletzung der Mitwirkungspflicht sei nicht kausal für das erstinstanzliche Beschwerdeverfahren gewesen. Bei diesen Einwendungen handelt es sich um unzulässige Rügen. Inwiefern der angefochtene, auf kantonalem Recht beruhende Entscheid gegen verfassungsmässige Rechte verstossen soll (vgl. E. 1 hievor), legt die Versicherte demgegenüber nicht dar. Ihre pauschale Behauptung, die Kürzung der Parteientschädigung stelle eine schwerwiegende Verletzung des rechtlichen Gehörs bzw. der Begründungspflicht ( Art. 29 Abs. 2 BV ) dar, genügt der in dieser Hinsicht qualifizierten Rügepflicht offensichtlich nicht, zumal das kantonale Gericht die Reduktion der Parteientschädigung eingehend begründet hat.</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