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9C_813/2009 vom 11. Dezember 2009</w:t>
      </w:r>
    </w:p>
    <w:p>
      <w:r>
        <w:t>Bundesgericht, 2009-12-11, DE</w:t>
      </w:r>
    </w:p>
    <w:p>
      <w:r>
        <w:rPr>
          <w:b/>
        </w:rPr>
        <w:t xml:space="preserve">Quelle: </w:t>
      </w:r>
      <w:r>
        <w:t>https://mcp.opencaselaw.ch/entscheid/bger_9C_813_2009</w:t>
      </w:r>
    </w:p>
    <w:p>
      <w:r>
        <w:t>FR: TF 9C_813/2009 du 11 décembre 2009</w:t>
      </w:r>
    </w:p>
    <w:p>
      <w:r>
        <w:t>IT: TF 9C_813/2009 del 11 dicembre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der Anspruch auf eine Rente der Invalidenversicherung. Die Vorinstanz hat Art. 16 ATSG zur Bestimmung des Invaliditätsgrades nach der Einkommensvergleichsmethode (vgl. BGE 130 V 343 E. 3.4 S. 348 f. mit Hinweisen) zutreffend dargelegt. Zu ergänzen ist, dass Versicherungsträger und Sozialversicherungsgericht die Beweise frei, d.h. ohne Bindung an förmliche Beweisregeln, sowie umfassend und pflichtgemäss zu würdigen haben.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2.2</w:t>
      </w:r>
    </w:p>
    <w:p>
      <w:r>
        <w:t>In pflichtgemässer Würdigung der gesamten Aktenlage hat das kantonale Gericht zutreffend dargelegt, weshalb für die Beurteilung der Arbeitsfähigkeit des Versicherten auf das beweiskräftige Gutachten der ärztlichen Begutachtungsstelle Z.________ vom 5. September 2007 abzustellen ist, wonach dem Beschwerdeführer eine Arbeitsfähigkeit von 100 % in einer körperlich leichten bis intermittierend mittelschweren adaptierten Tätigkeit zumutbar ist. Insbesondere hat die Vorinstanz einlässlich dargetan, weshalb die davon abweichenden Einschätzungen der Dres. med. M.________, L.________ und C.________ nicht geeignet sind, die Schlüssigkeit des Gutachtens in Frage zu stellen.</w:t>
      </w:r>
    </w:p>
    <w:p>
      <w:r>
        <w:rPr>
          <w:b/>
        </w:rPr>
        <w:t>E. 2.3</w:t>
      </w:r>
    </w:p>
    <w:p>
      <w:r>
        <w:t>Was der Beschwerdeführer dagegen vorbringt, vermag im Lichte der gesetzlichen Sachverhaltskognition (Art. 97 Abs. 1 und Art. 105 Abs. 1 und 2 BGG ) an der vorinstanzlichen Betrachtungsweise nichts zu ändern, zumal sich seine Kritik im Wesentlichen darauf beschränkt, dem Gutachten der ärztlichen Begutachtungsstelle Z.________ Arztberichte mit abweichenden Einschätzungen gegenüberzustellen, welchen das kantonale Gericht bereits zutreffend den Beweiswert abgesprochen hat, was als appellatorische und damit unzulässige Kritik nicht zu hören ist (Urteil 9C_830/2007 vom 29. Juli 2008 E. 3 mit Hinweis). Die darüber hinausgehenden Einwände vermögen nicht darzutun, weshalb der angefochtene Entscheid auf offensichtlich unrichtiger Sachverhaltsfeststellung im Sinne von Art. 97 Abs. 1 BGG beruhen oder sonst bundesrechtswidrig ( Art. 95 lit. a BGG ) sein sollte: Soweit der Beschwerdeführer geltend macht, die Begutachtung der ärztlichen Begutachtungsstelle Z.________ beruhe auf einer einzigen persönlichen Untersuchung, während Dr. med. C.________ zwei lange Explorationsgespräche in der Muttersprache des Beschwerdeführers geführt habe und die Diagnose des Dr. med. M.________ auf dessen mehrjähriger Behandlung beruhe, übersieht er die im Rahmen der Beweiswürdigung relevante Verschiedenheit von Behandlungsauftrag einerseits und Begutachtungsauftrag andererseits (vgl. BGE 124 I 170 E. 4 S. 175; Urteil 9C_801/2007 vom 7. Februar 2008 E. 3.2.2; Urteil 8C_286/2007 vom 3. Januar 2008 E. 4). Deshalb vermag eine durch den behandelnden Arzt erstellte abweichende Zumutbarkeitsschätzung für sich allein das Ergebnis der fachärztlichen Expertise nicht umzustossen, ohne dass zusätzliche objektive, den Beweiswert des Gutachtens beeinträchtigende Gründe hinzutreten, was hier nicht der Fall ist. Insbesondere ist der gegen die Unabhängigkeit der Begutachtungsstelle erhobene Einwand, gewisse Aussagen im Gutachten seien als Konzession an die IV-Stelle zu verstehen, um in Zukunft weitere Begutachtungsaufträge zu erhalten, nicht haltbar (vgl. zur Unabhängigkeit der Begutachtungsstelle SVR 2009 UV Nr. 32 S. 111; 8C_509/2008 E. 6). Schliesslich ändert auch der neu aufgelegte Arztbericht des Dr. med. L.________ vom 3. September 2009 - soweit novenrechtlich überhaupt zulässig ( Art. 99 BGG ) - nichts am Ergebnis, hat dieser doch schon früher eine Arbeitsfähigkeit von 100 % attestiert und hat die Vorinstanz bereits dargelegt, weshalb dessen Einschätzung die Beurteilung der ärztlichen Begutachtungsstelle Z.________ nicht in Zweifel zu ziehen vermag.</w:t>
      </w:r>
    </w:p>
    <w:p>
      <w:r>
        <w:rPr>
          <w:b/>
        </w:rPr>
        <w:t>E. 2.4</w:t>
      </w:r>
    </w:p>
    <w:p>
      <w:r>
        <w:t>Der Eventualantrag auf Anordnung einer neutralen psychiatrischen und orthopädischen Begutachtung wird vom Beschwerdeführer nicht weiter begründet, weshalb darauf nicht einzutreten ist ( Art. 42 Abs. 2 Satz 1 BGG ).</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 Wie eingangs erwähnt, wurde sein Gesuch um unentgeltliche Rechtspflege mit Zwischenentscheid vom 11. November 2009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