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812/2014 vom 16. Februar 2015</w:t>
      </w:r>
    </w:p>
    <w:p>
      <w:r>
        <w:t>Bundesgericht, 2015-02-16, FR</w:t>
      </w:r>
    </w:p>
    <w:p>
      <w:r>
        <w:rPr>
          <w:b/>
        </w:rPr>
        <w:t xml:space="preserve">Quelle: </w:t>
      </w:r>
      <w:r>
        <w:t>https://mcp.opencaselaw.ch/entscheid/bger_9C_812_2014</w:t>
      </w:r>
    </w:p>
    <w:p>
      <w:r>
        <w:t>FR: TF 9C 812/2014 du 16 février 2015</w:t>
      </w:r>
    </w:p>
    <w:p>
      <w:r>
        <w:t>IT: TF 9C 812/2014 del 16 febbraio 2015</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litige porte sur le droit de la recourante à une rente d'invalidité dans le contexte d'une procédure de révision ( art. 17 LPGA ), en particulier sur le point de savoir si une amélioration de l'état de santé de l'assurée depuis le 5 octobre 2009 justifie la suppression à partir du 1 er mai 2014 de la rente entière versée jusque-là. Le jugement entrepris expose de manière complète les dispositions légales et les principes jurisprudentiels concernant la révision au sens de l' art. 17 LPGA , la valeur probante des rapports médicaux et l'appréciation des preuves nécessaires à la résolution du litige. Il suffit d'y renvoyer.</w:t>
      </w:r>
    </w:p>
    <w:p>
      <w:r>
        <w:rPr>
          <w:b/>
        </w:rPr>
        <w:t>E. 3.1</w:t>
      </w:r>
    </w:p>
    <w:p>
      <w:r>
        <w:t>La juridiction cantonale a constaté que l'expertise de la doctoresse I.________ était probante. Pour ce faire, elle a écarté les griefs invoqués par l'intéressée, pour qui l'expertise contenait des contradictions intrinsèques, était irréaliste, ne constituait qu'une nouvelle appréciation des faits et ne démontrait pas l'amélioration de son état de santé. Les premiers juges en ont déduit une capacité totale de travail de la recourante, sans diminution de rendement, dans le cadre de ses activités précédentes ou dans toute autre activité adaptée dès le jour de l'expertise, soit dès le 19 août 2013. En comparant les éléments sur lesquels reposait la communication du 5 octobre 2009 avec ceux sur lesquels était fondée la décision du 7 mars 2014, la juridiction cantonale a constaté une amélioration de l'état de santé de l'assurée qui lui permettait d'exercer désormais une activité lucrative à 100 %, ce qui justifiait la suppression de son droit à une rente d'invalidité.</w:t>
      </w:r>
    </w:p>
    <w:p>
      <w:r>
        <w:rPr>
          <w:b/>
        </w:rPr>
        <w:t>E. 3.2</w:t>
      </w:r>
    </w:p>
    <w:p>
      <w:r>
        <w:t>La recourante fait grief à la juridiction cantonale d'avoir reconnu pleine valeur probante à l'expertise de la doctoresse I.________. Elle estime que les premiers juges ne pouvaient se fonder sur un tel document pour rendre leur jugement. A cet égard, elle soutient que, du point de vue formel, l'experte s'est contentée d'examiner les pièces du dossier, d'effectuer une brève audition, ce qui ne constitue pas un examen clinique complet, et de n'avoir procédé à aucun examen complémentaire. L'assurée prétend également sur le fond que la doctoresse I.________ n'indique ni en quoi les précédentes expertises étaient erronées ni en quoi certains troubles psychiatriques auraient disparu. L'intéressée estime en outre que l'experte a procédé à une nouvelle appréciation d'une même situation de fait.</w:t>
      </w:r>
    </w:p>
    <w:p>
      <w:r>
        <w:rPr>
          <w:b/>
        </w:rPr>
        <w:t>E. 4</w:t>
      </w:r>
    </w:p>
    <w:p>
      <w:r>
        <w:t>L'argumentation avancée par la recourante n'est pas fondée. Il ne peut effectivement être reproché à la juridiction cantonale d'avoir considéré que l'expertise de la doctoresse I.________ avait valeur probante.</w:t>
      </w:r>
    </w:p>
    <w:p>
      <w:r>
        <w:rPr>
          <w:b/>
        </w:rPr>
        <w:t>E. 4.1</w:t>
      </w:r>
    </w:p>
    <w:p>
      <w:r>
        <w:t>Sur le plan formel, contrairement à ce que soutient l'assurée, l'experte ne s'est pas uniquement fondée sur les pièces figurant au dossier. Elle s'est également entretenue longuement avec la recourante. Cette dernière a eu la possibilité de s'exprimer librement sur sa vie, sa situation familiale et sur ses antécédents personnels, ce qui a permis à la doctoresse I.________ d'établir un status psychiatrique précis sur lequel repose aussi l'expertise. Dans ce contexte, la durée de l'audition de l'intéressée, en l'occurrence 2h40, ne saurait en soi être considérée comme brève ou insuffisante et importe de toute façon peu dans la mesure où le rôle de l'expert consiste à se faire une idée sur l'état de santé du patient dans un délai relativement bref (arrêts 9C_386/2010 du 15 novembre 2010 consid. 3.2 et I 1084/06 du 26 novembre 2007 consid. 4). On ajoutera de surcroît, comme l'a rappelé à juste titre la juridiction cantonale, que l'expert jouit d'une large autonomie dans la manière de conduire son expertise, s'agissant notamment des modalités de l'examen clinique et du choix des examens complémentaires à effectuer et qu'il n'appartient pas au juge mais au praticien de décider s'il convient ou non de mettre en oeuvre de tels examens (arrêt 9C_715/2013 du 4 février 2014 consid. 4.1.3 et la référence). Que la doctoresse I.________ n'ait pas procédé à des investigations complémentaires n'est donc pas significatif en l'occurrence.</w:t>
      </w:r>
    </w:p>
    <w:p>
      <w:r>
        <w:rPr>
          <w:b/>
        </w:rPr>
        <w:t>E. 4.2</w:t>
      </w:r>
    </w:p>
    <w:p>
      <w:r>
        <w:t>Sur le fond, contrairement à ce que prétend la recourante, il importe peu que la doctoresse I.________ ait déterminé si les précédentes expertises étaient erronées ou non dans la mesure où, dans le cadre d'une procédure de révision, les autorités compétentes sont amenées à s'exprimer sur l'évolution d'une situation, ce qui peut engendrer la constatation de différences qui ne sauraient être qualifiées d'erreurs originelles. S'agissant de l'absence d'explication concernant la disparition de certaines pathologies psychiques, on relèvera que, contrairement à ce que prétend l'assurée, le trouble de la personnalité n'a pas disparu des conclusions de la doctoresse I.________. Celui-ci est certes qualifié différemment par rapport à la qualification retenue précédemment par la doctoresse H.________ (troubles mixtes de la personnalité / personnalité de type paranoïaque avec traits obsessionnels compulsifs) mais reste néanmoins présent dans la catégorie des affections sans influence sur la capacité de travail. On notera également que la doctoresse I.________ a parfaitement expliqué les raisons pour lesquelles elle n'avait pas retenu l'état de stress post-traumatique lié aux violences conjugales subies, diagnostiqué par la doctoresse H.________. Ses observations ont démontré l'absence de signe d'émotivité, de souvenir envahissant, de cauchemar violent et de détachement par rapport aux autres. Il en va de même des troubles de l'humeur. Les constatations de l'experte (psychomotricité vive, appétit maintenu, sommeil profond, image positive d'elle-même, pas de signe de fatigue, aucun trouble de l'attention ni de la concentration, capacité à se projeter dans l'avenir et absence d'anhédonie, d'aboulie, d'idée suicidaire et de sentiment de culpabilité) permettent de justifier le fait qu'elle n'a pas retenu de signes de la lignée dépressive. Il découle en outre de ce qui précède que l'appréciation des faits par la doctoresse I.________ a été établie au vu de la situation actuelle de l'assurée et non au regard de celle qui prévalait à l'époque du dernier examen de son état de santé, de sorte qu'il ne s'agit pas d'une simple et nouvelle appréciation des faits, contrairement à ce que prétend la recourante.</w:t>
      </w:r>
    </w:p>
    <w:p>
      <w:r>
        <w:rPr>
          <w:b/>
        </w:rPr>
        <w:t>E. 4.3</w:t>
      </w:r>
    </w:p>
    <w:p>
      <w:r>
        <w:t>Il suit de ce qui précède que la juridiction cantonale était en droit de faire siennes les conclusions de la doctoresse I.________ pour constater que l'état de santé de la recourante s'était amélioré et qu'elle disposait d'une capacité de travail exigible de 100 % dans les activités exercées par le passé. Le recours est partant mal fondé.</w:t>
      </w:r>
    </w:p>
    <w:p>
      <w:r>
        <w:rPr>
          <w:b/>
        </w:rPr>
        <w:t>E. 5</w:t>
      </w:r>
    </w:p>
    <w:p>
      <w:r>
        <w:t>Vu l'issue de la procédure, les frais de justice sont mis à la charge de l'assurée ( art. 66 al. 1 LTF ) qui ne peut prétendre des dépens ( art. 68 al. 1 LTF ). La recourante a cependant déposé une demande d'assistance judiciaire visant à la dispense des frais judiciaires et à la désignation d'un avocat d'office. Il convient d'accepter sa demande, dès lors qu'elle a établi son indigence, que le recours n'était pas d'emblée dénué de chances de succès et que l'assistance d'un avocat était indiquée ( art. 64 al. 1 et 2 LTF ). L'assurée est toutefois rendue attentive au fait qu'elle devra rembourser la caisse du Tribunal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