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9C_812/2013 vom 5. Februar 2014</w:t>
      </w:r>
    </w:p>
    <w:p>
      <w:r>
        <w:t>Bundesgericht, 2014-02-05, DE</w:t>
      </w:r>
    </w:p>
    <w:p>
      <w:r>
        <w:rPr>
          <w:b/>
        </w:rPr>
        <w:t xml:space="preserve">Quelle: </w:t>
      </w:r>
      <w:r>
        <w:t>https://mcp.opencaselaw.ch/entscheid/bger_9C_812_2013</w:t>
      </w:r>
    </w:p>
    <w:p>
      <w:r>
        <w:t>FR: TF 9C_812/2013 du 5 février 2014</w:t>
      </w:r>
    </w:p>
    <w:p>
      <w:r>
        <w:t>IT: TF 9C_812/2013 del 5 febbraio 2014</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Das von der Beschwerdeführerin unaufgefordert und erst nach Ablauf der Beschwerdefrist ( Art. 100 Abs. 1 BGG ) eingereichte Schreiben vom 17. Januar 2014 hat unbeachtlich zu bleiben (vgl. Urteil 9C_457/2009 vom 10. Dezember 2009 E. 1).</w:t>
      </w:r>
    </w:p>
    <w:p>
      <w:r>
        <w:rPr>
          <w:b/>
        </w:rPr>
        <w:t>E. 2</w:t>
      </w:r>
    </w:p>
    <w:p>
      <w:r>
        <w:t>Streitig und zu prüfen ist die mittels substituierter Begründung geschützte - auf den Zeitpunkt der Entscheideröffnung hin wirksame - Aufhebung der Invalidenrente. Die hiefür massgebenden Rechtsgrundlagen werden im angefochtenen Entscheid zutreffend dargelegt. Darauf wird verwiesen. Zu wiederholen ist lit. a Abs. 1 SchlB IVG.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3</w:t>
      </w:r>
    </w:p>
    <w:p>
      <w:r>
        <w:t>Das kantonale Gericht erwog, aus dem Vergleich der Gutachten der Dres. med. S.________ und A.________ vom 9. Juni 2004 bzw. 4. März 2005, auf welchen der rentenzusprechende Entscheid basiere, und der Expertisen der Dres. med. R.________ und H.________ vom 11. bzw. 30. April 2012, welche Grundlage für die rentenaufhebende Verfügung bildeten, ergebe sich keine erhebliche Veränderung des Gesundheitszustands. Da auch keine anspruchsrelevante erwerbliche Veränderung vorliege, sei die Verwaltung nicht zur Rentenaufhebung gestützt auf Art. 17 ATSG berechtigt gewesen. Sodann bestehe keine Möglichkeit, die Rentenaufhebung mittels Wiedererwägung oder prozessualer Revision ( Art. 53 Abs. 1 und 2 ATSG ) zu schützen. Indes fielen die von Dr. med. A.________ gestellten Diagnosen einer Neurasthenie und eines fibromyalgieformen Syndroms unter die in lit. a Abs. 1 SchlB IVG erwähnten Beschwerdebilder. Mangels komorbider psychopathologischer Befunde hinreichender Ausprägung sowie zufolge Fehlens der rechtsprechungsgemäss relevanten Kriterien sei den psychischen Diagnosen kein invalidisierender Charakter zuzuerkennen. Auch aus somatischer Sicht bestünden (nach wie vor) keine Einschränkungen. Schliesslich habe die Beschwerdeführerin weder das 55. Altersjahr zurückgelegt noch die Rente mehr als 15 Jahre bezogen, womit die Voraussetzungen für die Rentenaufhebung erfüllt seien.</w:t>
      </w:r>
    </w:p>
    <w:p>
      <w:r>
        <w:rPr>
          <w:b/>
        </w:rPr>
        <w:t>E. 4.1</w:t>
      </w:r>
    </w:p>
    <w:p>
      <w:r>
        <w:t>Die Beschwerdeführerin wendet ein, es sei unhaltbar, dass die Vorinstanz die Rentenaufhebung mit dem "über zehn Jahre zurückliegenden" Gutachten des Dr. med. A.________ begründe, zumal die aktuell behandelnden Ärzte übereinstimmend eine seither eingetretene Verschlechterung festgestellt hätten. Diese Rüge zielt ins Leere. Die Vorinstanz hat zu Recht geprüft, ob es sich um eine Rente handelt, die bei unklaren Beschwerden (E. 2 hievor) gesprochen wurde und daher in den Anwendungsbereich der SchlB IVG fällt, was sie bejaht hat (E. 5.1 des angefochtenen Entscheids). Dem kann gefolgt werden. Sowohl das Beschwerdebild der Neurasthenie als auch dasjenige der Fibromyalgie - andere psychiatrische Diagnosen wurden vom Gutachter nicht gestellt - gehören zu den hievor genannten unklaren Beschwerden (zur amtlichen Publikation bestimmtes Urteil 8C_972/2012 vom 31. Oktober 2013 E. 2.2 mit Hinweisen; vgl. auch Rz. 1002 des Kreisschreibens des Bundesamtes für Sozialversicherungen [BSV] über die Schlussbestimmungen der Änderung vom 18. März 2011 des IVG [KSSB], gültig ab 1. Januar 2012). Weil zudem gemäss den verbindlichen Feststellungen der Vorinstanz (E. 3.6 des angefochtenen Entscheids) aus somatischer Sicht (Gutachten des Dr. med. S.________ vom 9. Juni 2004) keine Einschränkungen attestiert wurden, erfolgte die Rentenzusprache</w:t>
      </w:r>
    </w:p>
    <w:p>
      <w:r>
        <w:t>ausschliesslich aufgrund unklarer Beschwerden. Folglich ist die Überprüfung der Rente nach den SchlB IVG grundsätzlich möglich (erwähntes Urteil 8C_972/2012 E. 10.1.1). Eine Revision unter dem Titel der SchlB IVG scheitert auch nicht daran, dass die fragliche Rentenzusprache bereits in Beachtung der Rechtsprechung zu den unklaren Beschwerden erging (zur amtlichen Publikation bestimmtes Urteil 8C_33/2013 vom 13. Dezember 2013 E. 2.2.2). Die im Bereich der somatoformen Schmerzstörung entwickelten Grundsätze sind erst seit dem Urteil I 70/07 vom 14. April 2008 analog auf die Neurasthenie anwendbar.</w:t>
      </w:r>
    </w:p>
    <w:p>
      <w:r>
        <w:rPr>
          <w:b/>
        </w:rPr>
        <w:t>E. 4.2</w:t>
      </w:r>
    </w:p>
    <w:p>
      <w:r>
        <w:t>Weiter macht die Beschwerdeführerin geltend, die Vorinstanz sei in Willkür verfallen, indem sie auf das (Teil-) Gutachten des Dr. med. H.________ vom 30. April 2012 abgestellt habe, wonach im Wesentlichen eine anhaltende somatoforme Schmerzstörung (F45.4) und eine Dysthymie (F34.1) vorlägen. Denn betreffend die Frage, ob seit der ersten Begutachtung eine revisionsrechtlich relevante Änderung des Gesundheitszustands stattgefunden habe, habe die Vorinstanz das Gutachten nicht als beweiswertige Entscheidgrundlage eingestuft. Damit dringt sie nicht durch. Vermag eine Expertise - wie hier - in einem Punkt nicht zu überzeugen, führt dies nicht zur gänzlichen Unverwertbarkeit derselben (Urteil 9C_416/2013 vom 27. August 2013 E. 4.2.2 mit weiteren Hinweisen). Vielmehr ist hinsichtlich des Beweiswerts der einzelnen Aspekte des Gutachtens zu differenzieren. Was namentlich die Befunderhebung betrifft, hat das kantonale Gericht die Verwertbarkeit des Gutachtens ausdrücklich bejaht (E. 3.5 des angefochtenen Entscheids), was im Lichte der vorgebrachten Einwände nicht bundesrechtswidrig erscheint. Namentlich verfängt die Kritik nicht, die Diagnosestellung des Experten beruhe (massgeblich) auf der Prämisse, wonach eine Verbesserung des psychischen Zustands eingetreten sei. Denn der Gutachter begründete die gestellten Diagnosen, insbesondere die von der Beschwerdeführerin bestrittene Dysthymie, zur Hauptsache mit objektiven Befunden (vor allem dem Psychostatus [u.a. nicht eingeschränkter Antrieb, guter affektiver Rapport, unproblematische Konzentration und Aufmerksamkeit, kaum depressives Zustandsbild], dem erhobenen Medikamentenspiegel [kaum therapeutisch wirksame Dosierung von Psychopharmaka]), ferner anhand von anamnestischen Angaben zu Lebensaktivitäten (regelmässige Tagesgestaltung, Gottesdienstbesuche, Freude am Musik hören, erhaltene soziale Kontakte, regelmässige Ferien im Heimatland) sowie zur (äusserst losen) psychiatrischen Behandlung.</w:t>
      </w:r>
    </w:p>
    <w:p>
      <w:r>
        <w:t>Auch der Hinweis auf die Berichte der behandelnden Ärzte vermag das Gutachten nicht in Zweifel zu ziehen. Der Experte hat sich mit der teilweise abweichenden Beurteilung des behandelnden Facharztes (Berichte des Dr. med. W.________, Facharzt für Psychiatrie und Psychotherapie FMH, vom 18. Oktober 2004 und 2. November 2011) hinreichend auseinandergesetzt und überzeugend dargelegt, dass er eine eigentliche depressive Störung aufgrund des Zustandsbilds nicht bestätigen kann und an der Diagnose Dysthymie festhält. Unter diesen Umständen durfte die Vorinstanz in antizipierter Beweiswürdigung ( BGE 137 V 64 E. 5.2 S. 69 ; 136 I 229 E. 5.3 S. 236) - ohne gegen den Untersuchungsgrundsatz zu verstossen ( Art. 61 lit. c ATSG ) - auf weitere medizinische Abklärungen verzichten, weil davon keine entscheidrelevanten neuen Erkenntnisse zu erwarten waren. Mit dem kantonalen Gericht ist davon auszugehen, dass seit der ersten psychiatrischen Begutachtung keine wesentliche Veränderung des Gesundheitszustands eingetreten ist, mit anderen Worten auch im Revisionszeitpunkt kein klar diagnostizierbares Störungsbild mit invalidisierender Wirkung (erwähntes Urteil 8C_972/2012 E. 10.1.2) vorliegt.</w:t>
      </w:r>
    </w:p>
    <w:p>
      <w:r>
        <w:rPr>
          <w:b/>
        </w:rPr>
        <w:t>E. 4.3</w:t>
      </w:r>
    </w:p>
    <w:p>
      <w:r>
        <w:t>Schliesslich hat die Vorinstanz gestützt auf das Teilgutachten des Dr. med. H.________, welcher sich zur Frage der Zumutbarkeit der Schmerzbewältigung geäussert hat (Urteil 9C_302/2012 vom 13. August 2012 E. 4.2.2 mit Hinweisen, nicht publ. in BGE 138 V 339 , aber in: SVR 2012 IV Nr. 56 S. 200), eine psychisch ausgewiesene Komorbidität hinreichender Ausprägung (zur Dysthymie vgl. Urteil 8C_303/2012 vom 6. Dezember 2012 E. 4.2 mit Hinweisen) sowie das Vorliegen der übrigen rechtsprechungsgemäss relevanten Kriterien verneint (E. 5.2 des angefochtenen Entscheids), was nicht zu beanstanden ist. Mithin ist eine Validitätseinbusse - trotz des hinsichtlich der invalidisierenden Folgen nicht objektivierbaren Beschwerdebilds - auch auf diese Weise nicht gegeben (erwähntes Urteil 8C_972/2012 E. 9.1-9.1.3).</w:t>
      </w:r>
    </w:p>
    <w:p>
      <w:r>
        <w:rPr>
          <w:b/>
        </w:rPr>
        <w:t>E. 4.4</w:t>
      </w:r>
    </w:p>
    <w:p>
      <w:r>
        <w:t>Nach dem Gesagten hat das kantonale Gericht zur Klärung der Situation im Revisionszeitpunkt in willkürfreier, in allen Teilen bundesrechtskonformer Beweiswürdigung ( BGE 132 V 393 E. 4.1 S. 400) auf das bidisziplinäre Gutachten der Dres. med. R.________ und H.________ abgestellt. Die Rentenaufhebung unter dem Titel von lit. a SchlB IVG hält vor Bundesrecht stand.</w:t>
      </w:r>
    </w:p>
    <w:p>
      <w:r>
        <w:rPr>
          <w:b/>
        </w:rPr>
        <w:t>E. 5</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