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9C_811/2017 vom 31. Januar 2018</w:t>
      </w:r>
    </w:p>
    <w:p>
      <w:r>
        <w:t>Bundesgericht, 2018-01-31, DE</w:t>
      </w:r>
    </w:p>
    <w:p>
      <w:r>
        <w:rPr>
          <w:b/>
        </w:rPr>
        <w:t xml:space="preserve">Quelle: </w:t>
      </w:r>
      <w:r>
        <w:t>https://mcp.opencaselaw.ch/entscheid/bger_9C_811_2017</w:t>
      </w:r>
    </w:p>
    <w:p>
      <w:r>
        <w:t>FR: TF 9C_811/2017 du 31 janvier 2018</w:t>
      </w:r>
    </w:p>
    <w:p>
      <w:r>
        <w:t>IT: TF 9C_811/2017 del 31 gennaio 2018</w:t>
      </w:r>
    </w:p>
    <w:p>
      <w:pPr>
        <w:pStyle w:val="Heading2"/>
      </w:pPr>
      <w:r>
        <w:t>Erwägungen</w:t>
      </w:r>
    </w:p>
    <w:p>
      <w:r>
        <w:rPr>
          <w:b/>
        </w:rPr>
        <w:t>E. 1</w:t>
      </w:r>
    </w:p>
    <w:p>
      <w:r>
        <w:t>Wie sich aus dem Folgenden ergeben wird, ist die Sach- und Rechtslage klar. Ein Schriftenwechsel ist nicht erforderlich ( Art. 102 Abs. 1 BGG ), weshalb erst recht kein Anlass für einen zweiten Schriftenwechsel ( Art. 102 Abs. 3 BGG ) besteht (vgl. MEYER/DORMANN, in: Basler Kommentar, Bundesgerichtsgesetz, 2. Aufl. 2011, N. 20-22 zu Art. 102 BGG ).</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3.1</w:t>
      </w:r>
    </w:p>
    <w:p>
      <w:r>
        <w:t>Das kantonale Gericht hielt einen zweiten Schriftenwechsel im kantonalen Beschwerdeverfahren angesichts der fehlenden materiellen Ausführungen in der Beschwerdeantwort nicht für erforderlich, verwies aber ausdrücklich auf die Möglichkeit einer weiteren Eingabe, wovon die Beschwerdeführerin denn auch Gebrauch machte (Verfügung vom 7. April 2017, Eingabe vom 11. Mai 2017). Sodann holte es im Rahmen der Sachverhaltsabklärung von Amtes wegen ( Art. 61 lit. c ATSG ) ergänzende Ausführungen von der MEDAS ein, die sie anschliessend der Beschwerdeführerin zur Stellungnahme unterbreitete (Verfügung vom 27. Juni 2017, Eingabe vom 26. Juli 2017).</w:t>
      </w:r>
    </w:p>
    <w:p>
      <w:r>
        <w:t>Anders als in der Beschwerde geltend gemacht wird - soweit in diesem Zusammenhang überhaupt von einer genügend substanziierten Rüge auszugehen ist (vgl. Art. 106 Abs. 2 BGG ; BGE 136 I 49 E. 1.4.1 S. 53) - ist dieses Vorgehen nicht widersprüchlich, geschweige denn willkürlich ( Art. 9 BV ; BGE 142 II 369 E. 4.3 S. 380 mit Hinweisen), und es bedeutet auch keine Verletzung des Anspruchs auf rechtliches Gehör ( Art. 29 Abs. 2 BV ; Art. 6 Ziff. 1 EMRK ). Sodann sind auch die vorinstanzlichen Ausführungen zur Heilung einer allfälligen Verletzung der Begründungspflicht durch die IV-Stelle bundesrechtskonform (vgl. BGE 137 I 195 E. 2.3.2 S. 197; 136 V 117 E. 4.2.2.2 S. 126 ; 133 I 201 E. 2.2 S. 204).</w:t>
      </w:r>
    </w:p>
    <w:p>
      <w:r>
        <w:rPr>
          <w:b/>
        </w:rPr>
        <w:t>E. 3.2</w:t>
      </w:r>
    </w:p>
    <w:p>
      <w:r>
        <w:t>Weiter zielen die Ausführungen in der Beschwerde zum Zeitpunkt des Eintritts des Gesundheitsschadens ins Leere: Dieser Aspekt war für den Ausgang des Verfahrens nicht von Belang (vgl. E. 3.3).</w:t>
      </w:r>
    </w:p>
    <w:p>
      <w:r>
        <w:rPr>
          <w:b/>
        </w:rPr>
        <w:t>E. 3.3</w:t>
      </w:r>
    </w:p>
    <w:p>
      <w:r>
        <w:t>Die Vorinstanz hat die medizinische Aktenlage, insbesondere das Gutachten der MEDAS vom 29. Juli 2016 samt Ergänzungen vom 26. Mai und 6. Juni 2017, zutreffend und im Lichte von BGE 141 V 281 lege artis beurteilt, und zwar auch bezüglich des in der Beschwerde gerügten Punktes der Aggravation. Sie hat verbindlich (E. 2) festgestellt, dass soziokulturelle Faktoren und Aggravation das Beschwerdebild dominieren. Demnach stellt es keine Rechtsverletzung dar, wenn sie der im MEDAS-Gutachten attestierten Arbeitsunfähigkeit von 50 % die rechtliche Relevanz abgesprochen (vgl. BGE 141 V 281 E. 5.2 S. 306 f.; 140 V 193 ) und einen invalidisierenden Gesundheitsschaden verneint hat.</w:t>
      </w:r>
    </w:p>
    <w:p>
      <w:r>
        <w:rPr>
          <w:b/>
        </w:rPr>
        <w:t>E. 3.4</w:t>
      </w:r>
    </w:p>
    <w:p>
      <w:r>
        <w:t>Im Übrigen beschränkt sich die Beschwerdeführerin ohnehin auf weiten Strecken auf eine von der Vorinstanz abweichende Beweiswürdigung (vgl. Urteile 9C_714/2015 vom 29. April 2016 E. 4.3; 9C_65/2012 vom 28. Februar 2012 E. 4.3 mit Hinweisen). Da die Beschwerde offensichtlich unbegründet ist, wird sie im Verfahren nach Art. 109 Abs. 2 lit. a BGG mit summarischer Begründung und unter Hinweis auf den kantonalen Gerichtsentscheid (Abs. 3) erledigt.</w:t>
      </w:r>
    </w:p>
    <w:p>
      <w:r>
        <w:rPr>
          <w:b/>
        </w:rPr>
        <w:t>E. 4</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