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810/2011 vom 4. Juni 2012</w:t>
      </w:r>
    </w:p>
    <w:p>
      <w:r>
        <w:t>Bundesgericht, 2012-06-04, FR</w:t>
      </w:r>
    </w:p>
    <w:p>
      <w:r>
        <w:rPr>
          <w:b/>
        </w:rPr>
        <w:t xml:space="preserve">Quelle: </w:t>
      </w:r>
      <w:r>
        <w:t>https://mcp.opencaselaw.ch/entscheid/bger_9C_810_2011</w:t>
      </w:r>
    </w:p>
    <w:p>
      <w:r>
        <w:t>FR: TF 9C 810/2011 du 4 juin 2012</w:t>
      </w:r>
    </w:p>
    <w:p>
      <w:r>
        <w:t>IT: TF 9C 810/2011 del 4 giugno 2012</w:t>
      </w:r>
    </w:p>
    <w:p>
      <w:pPr>
        <w:pStyle w:val="Heading2"/>
      </w:pPr>
      <w:r>
        <w:t>Regeste</w:t>
      </w:r>
    </w:p>
    <w:p>
      <w:r>
        <w:t>Prévoyance professionnelle (prestation d'invalidité) | Prévoyance professionnelle</w:t>
      </w:r>
    </w:p>
    <w:p>
      <w:pPr>
        <w:pStyle w:val="Heading2"/>
      </w:pPr>
      <w:r>
        <w:t>Erwägungen</w:t>
      </w:r>
    </w:p>
    <w:p>
      <w:r>
        <w:rPr>
          <w:b/>
        </w:rPr>
        <w:t>E. 1.1</w:t>
      </w:r>
    </w:p>
    <w:p>
      <w:r>
        <w:t>Sous l'angle de la recevabilité du recours, on constate tout d'abord que même si les conclusions du recourant en instance fédérale diffèrent de celles de la demande du 26 juin 2006, comme le relève l'intimée, il ne s'agit pas de conclusions nouvelles au sens de l' art. 99 al. 2 LTF , selon lequel toute conclusion nouvelle est irrecevable. Le recourant chiffre simplement le montant des arriérés de rente - à partir du 1er décembre 2007 (cf. p. 13 de la demande du 26 juin 2009) - jusqu'à la date du dépôt de la demande devant la juridiction cantonale, respectivement jusqu'à celle de son recours devant le Tribunal fédéral, en adaptant la date à partir de laquelle des intérêts seraient dus selon lui (15 août 2008, respectivement 1er octobre 2009). Par ailleurs, au regard des conclusions en paiement d'un montant d'au moins 116'372 fr. 35 et d'une rente annuelle d'au moins 37'150 fr. ("qui n'est pas inférieur à") formulées en instance fédérale, le recours est recevable pour le montant minimal indiqué (cf. ATF 105 II 108 consid. 6 p. 316).</w:t>
      </w:r>
    </w:p>
    <w:p>
      <w:r>
        <w:rPr>
          <w:b/>
        </w:rPr>
        <w:t>E. 1.2</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Le Tribunal fédéral applique par ailleurs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Lorsqu'il s'agit, en particulier, de prestations de la prévoyance professionnelle, le Tribunal fédéral examine en principe librement les statuts et règlements d'institutions de prévoyance ou de fondations de libre passage de droit privé, en tant que contenu préformé du contrat de prévoyance ( ATF 134 V 369 consid. 2 p. 371 et les arrêts cités).</w:t>
      </w:r>
    </w:p>
    <w:p>
      <w:r>
        <w:rPr>
          <w:b/>
        </w:rPr>
        <w:t>E. 2</w:t>
      </w:r>
    </w:p>
    <w:p>
      <w:r>
        <w:t>Il n'est pas contesté que le recourant a droit à une rente d'invalidité au titre des prestations minimales obligatoires selon la LPP ( art. 6 LPP ). Est seul litigieux le droit à une rente d'invalidité plus élevée découlant de la prévoyance professionnelle plus étendue ( art. 49 al. 2 LPP ). Il s'agit, en particulier, de savoir si le recourant peut prétendre à cette prestation en dépit de la réserve grevant la couverture plus étendue, instituée le 21 août 2006.</w:t>
      </w:r>
    </w:p>
    <w:p>
      <w:r>
        <w:rPr>
          <w:b/>
        </w:rPr>
        <w:t>E. 3.1</w:t>
      </w:r>
    </w:p>
    <w:p>
      <w:r>
        <w:t>Dans les limites de la LPP, les institutions de prévoyance sont en droit d'aménager librement la prévoyance plus étendue, en vertu de l'autonomie que leur confère l' art. 49 al. 2 LPP . Elles sont notamment habilitées à restreindre la protection conférée par la couverture d'assurance en instaurant une réserve pour raisons de santé (aux conditions posées par l' art. 14 LFLP , qui ne sont pas déterminantes en l'espèce). Selon l' art. 331c CO , les institutions de prévoyance peuvent faire des réserves pour raisons de santé en relation avec les risques d'invalidité et de décès. La durée de ces réserves est de cinq ans au plus.</w:t>
      </w:r>
    </w:p>
    <w:p>
      <w:r>
        <w:rPr>
          <w:b/>
        </w:rPr>
        <w:t>E. 3.2</w:t>
      </w:r>
    </w:p>
    <w:p>
      <w:r>
        <w:t>Une réserve pour raisons de santé est une restriction individuelle, concrète et limitée dans le temps de la couverture d'assurance dans un cas particulier (cf. ATF 127 III 235 consid. 2c p. 238). La réserve doit donc être formulée de façon explicite, datée et communiquée à l'assuré au moment de son entrée dans l'institution de prévoyance (arrêt B 110/01 du 24 novembre 2003 consid. 4.3, in SVR 2004 BVG n° 13 p. 40). Elle ne déploie ses effets qu'au moment où le cas d'assurance survient et qu'il en résulte un devoir pour l'assureur d'allouer des prestations. L'assureur est délié de son obligation de prester dans la mesure du risque réservé (arrêt 9C_104/2007 du 20 août 2007, in SVR 2008 BVG n° 18 p. 69).</w:t>
      </w:r>
    </w:p>
    <w:p>
      <w:r>
        <w:rPr>
          <w:b/>
        </w:rPr>
        <w:t>E. 3.3</w:t>
      </w:r>
    </w:p>
    <w:p>
      <w:r>
        <w:t>Sous ses art. 1.4 ("Conditions particulières d'admission et de sortie") et 1.5 ("Visite médicale"), le Règlement du plan de prévoyance de la Caisse de retraite X.________ gérée par la Fondation de prévoyance X.________ en faveur du personnel des sociétés affiliées ou apparentées au holding X.________ SA (ci-après: le règlement; version valable dès le 1er janvier 2005) prévoit les règles suivantes: 1.4.1 La couverture décès et invalidité est accordée pour autant que l'affilié jouisse de sa pleine capacité de gain lors de l'affiliation. A ce moment chaque affilié doit remplir véridiquement le formulaire "Déclaration de santé" pour son admission au plan de rentes ou au plan d'épargne. S'il ne le fait pas dans les délais demandés, la Caisse de retraite X.________ se réserve le droit de réduire les prestations décès et invalidité aux prestations minimales selon la LPP. Les dispositions de l'article 1.5 demeurent réservées. [...] 1.5.1 Le Conseil de Fondation peut exiger de tout nouvel affilié qu'il se soumettre à une visite médicale aux frais de la Caisse de retraite X.________. Il peut également exiger de tout affilié en incapacité de gain qu'il se soumette périodiquement à une visite médicale aux frais de la Caisse de retraite X.________. 1.5.2 Si le résultat de la visite est défavorable, le Conseil de Fondation peut modifier les conditions d'assurance. 1.5.3 Les réserves médicales que peut émettre la Caisse de retraite X.________ ne touchent pas la part de prestation correspondant au minimum légal prévu par la LPP. Leur durée ne peut excéder cinq ans. Une réserve émise par l'ancienne institution de prévoyance peut être maintenue à condition toutefois que le temps de réserve déjà écoulé soit pris en compte. Si l'affilié devient invalide ou décède d'une affection ayant fait l'objet d'une réserve durant la période de validité de celle-ci, les prestations d'invalidité, de survivants ou d'enfants de la Caisse de retraite X.________ sont réduites de manière permanente aux prestations minimales LPP. 1.5.4 La modification des conditions d'assurance sera notifiée à l'assuré sous pli recommandé.</w:t>
      </w:r>
    </w:p>
    <w:p>
      <w:r>
        <w:rPr>
          <w:b/>
        </w:rPr>
        <w:t>E. 4.1</w:t>
      </w:r>
    </w:p>
    <w:p>
      <w:r>
        <w:t>La juridiction cantonale a retenu qu'en renvoyant signé à l'intimé son courrier du 21 août 2006, le recourant avait accepté que l'institution de prévoyance modifie les conditions de son admission au plan de prévoyance plus étendue et ajoute une réserve dans le contrat initial. La lettre du 21 août 2006 comportait une réserve portant "sur les troubles de l'humeur, le diabète et l'hypertension artérielle ainsi que leurs conséquences" (réserve formulée par le médecin conseil le 14 juillet 2006). Dès lors que la formulation de la réserve, en tant que modification des conditions d'assurance, était prévue à l'art. 1.5 du règlement, la réserve communiquée à l'assuré le 21 août 2006 était valable. Par ailleurs, comme le recourant avait fourni des renseignements excessivement sommaires dans la "Déclaration de santé" du 8 juin 2005, puis lors de son examen par le médecin conseil auquel il n'avait pas indiqué souffrir d'une polyneuropathie, la formulation relativement large de la réserve était admissible. Les premiers juges ont constaté ensuite que la polyneuropathie dont était atteint le recourant, et qui avait causé l'incapacité de travail à l'origine de l'invalidité reconnue par l'assurance-invalidité, constituait au vu des pièces médicales une conséquence du diabète. Elle faisait donc également l'objet de la réserve instaurée par l'institution de prévoyance, de sorte que celle-ci était fondée à refuser les prestations d'invalidité réclamées.</w:t>
      </w:r>
    </w:p>
    <w:p>
      <w:r>
        <w:rPr>
          <w:b/>
        </w:rPr>
        <w:t>E. 4.2</w:t>
      </w:r>
    </w:p>
    <w:p>
      <w:r>
        <w:t>La lettre de l'intimée du 21 août 2006 porte sur l'instauration d'une réserve pour raisons médicales avec effet à partir du 1er juin 2005, date à partir de laquelle le recourant avait initialement été affilié sans réserve. Comme le fait valoir le recourant, la réserve a été formulée non pas au moment de son affiliation, mais avec effet rétroactif postérieurement à la survenance de l'incapacité de travail à l'origine de l'invalidité et à la fin des rapports de travail.</w:t>
      </w:r>
    </w:p>
    <w:p>
      <w:r>
        <w:rPr>
          <w:b/>
        </w:rPr>
        <w:t>E. 4.2.1</w:t>
      </w:r>
    </w:p>
    <w:p>
      <w:r>
        <w:t>Selon la jurisprudence, dans le domaine de la prévoyance professionnelle plus étendue, une réserve avec effet rétroactif n'est pas valable, même dans le cas où l'assuré n'a pas répondu de manière conforme à la vérité aux questions relatives à son état de santé (questionnaire de santé) au moment de son affiliation - ce qui amène l'institution de prévoyance à ne pas formuler de réserve pour raisons de santé - et que l'institution de prévoyance découvre après coup la réticence de son assuré. Le Tribunal fédéral a jugé que l' art. 331c CO , et donc la possibilité d'émettre une réserve pour raisons de santé, ne vaut que pour les réserves que l'institution de prévoyance a émises lors de l'entrée de l'assuré dans l'institution de prévoyance ( ATF 130 V 9 consid. 4.4 p. 24 s.; cf. aussi, Hermann Walser, LPP et LFLP, 2010, ad art. 14 LFLP , n° 10 p. 1541). Il a considéré que lorsque l'assuré viole son devoir de renseigner et que l'institution de prévoyance l'apprend après coup, elle ne peut corriger la situation qu'en se départissant du contrat de prévoyance ( ATF 130 V 9 consid. 5.1 p. 15). Certains auteurs, qui critiquent en partie l'arrêt cité, sont d'avis qu'à défaut de base légale (dans la LCA), une institution de prévoyance ne peut pas instaurer une réserve rétroactive de cinq ans lorsqu'elle découvre une réticence de la part de l'assuré, à moins qu'une telle possibilité ne soit prévue par son règlement (Streiff/von Kaenel, Arbeitsvertrag, Praxiskommentar zu Art. 319-362 OR , 6ème éd., 2006, ad art. 331c, N7 p. 506, qui se réfèrent à Brühwiler, Kommentar zum Einzelarbeitsvertrag, OR Art. 319-343, 2ème éd., 1996, ad art. 331c p. 263).</w:t>
      </w:r>
    </w:p>
    <w:p>
      <w:r>
        <w:rPr>
          <w:b/>
        </w:rPr>
        <w:t>E. 4.2.2</w:t>
      </w:r>
    </w:p>
    <w:p>
      <w:r>
        <w:t>La réserve formulée le 14 juillet 2006 et communiquée au recourant par courrier du 21 août suivant n'est en l'espèce pas conforme aux conditions posées par la jurisprudence en raison de son caractère rétroactif. La possibilité d'instaurer une telle réserve avec effet rétroactif en cas de réticence de la part de l'assuré n'est pas non plus prévue par le règlement de l'intimée. L'art. 1.4.1 du règlement, concernant les conditions d'affiliation à l'institution de prévoyance, et dont on peut déduire que celle-ci a la possibilité d'instituer des réserves pour la part des prestations qui excèdent les prestations légales obligatoires, n'est pas pertinent. La réserve en cause a précisément été formulée bien après la phase d'admission, puisqu'elle a été instaurée près d'une année après l'affiliation du recourant en août 2005. Quant à l'art. 1.5.2 du règlement, il prévoit certes la possibilité pour la Caisse de retraite X.________ d'émettre des réserves - modification des conditions d'assurance - pour les prestations allant au-delà du minimum légal prévu par la LPP, d'une durée ne pouvant excéder cinq ans. On peut par ailleurs déduire des art. 1.5.1 et 1.5.2, en relation avec l'art. 1.5.3, que les réserves peuvent être émises postérieurement à l'affiliation, après qu'un "affilié en incapacité de gain" se fût soumis à une visite médicale, dont le résultat aurait été défavorable (cf. toutefois la modification de l'art. 1.5.2 ["visite médicale à l'entrée"] dans la version en vigueur à partir du 1er janvier 2007). Ni l'art. 1.5, ni aucune autre disposition du règlement ne prévoient toutefois que les réserves puissent être émises avec un effet rétroactif. En conséquence, la réserve en cause n'est pas valable en raison de son caractère rétroactif et l'institution de prévoyance ne pouvait s'en prévaloir pour refuser de prester. Contrairement à ce qu'ont retenu les premiers juges, le fait que le recourant a manifesté son accord avec la modification du contrat que représentait l'instauration de la réserve n'y change rien. La question de l'accord du recourant n'a aucune incidence parce que l'instauration en tant que telle d'une réserve pour raisons de santé par l'institution de prévoyance n'est pas soumise à acceptation. Par ailleurs, même si on suivait l'argumentation de l'intimée, selon laquelle elle a la possibilité d'émettre en tout temps des réserves modifiant les conditions d'assurance - ce qui n'est pas conforme à l' ATF 130 V 9 exposé ci-avant -, la réserve formulée le 14 juillet 2006 avec effet rétroactif ne serait de toute façon pas valable en l'absence de disposition réglementaire prévoyant la rétroactivité de la réserve.</w:t>
      </w:r>
    </w:p>
    <w:p>
      <w:r>
        <w:rPr>
          <w:b/>
        </w:rPr>
        <w:t>E. 5</w:t>
      </w:r>
    </w:p>
    <w:p>
      <w:r>
        <w:t>A défaut de pouvoir invoquer la réserve avec effet rétroactif, l'institution de prévoyance pourrait encore fonder son refus de prestations sur une réticence du recourant (cf. ATF 130 V 9 consid. 5.1 p. 15). Le jugement entrepris ne comprend cependant pas de constatations de fait suffisantes à cet égard, sur la base desquelles le Tribunal fédéral pourrait examiner cette question (consid. 1.2 supra). Au regard de l'issue qu'elle a donnée au litige, la juridiction cantonale a en effet renoncé à se prononcer sur les arguments des parties "au sujet d'une éventuelle réticence imputable au demandeur, à cause de l'omission de déclarer un fait important" (consid. 6 du jugement attaqué) et n'a pas établi les faits pertinents dans ce contexte. Par conséquent, il convient de lui renvoyer la cause pour qu'elle examine les prétentions du recourant sous l'angle d'une éventuelle réticence et rende un nouveau jugement. En ce sens, le recours doit donc être admis.</w:t>
      </w:r>
    </w:p>
    <w:p>
      <w:r>
        <w:rPr>
          <w:b/>
        </w:rPr>
        <w:t>E. 6</w:t>
      </w:r>
    </w:p>
    <w:p>
      <w:r>
        <w:t>Vu l'issue de la procédure, l'intimée supportera les frais judiciaires ( art. 66 al. 1 LTF ). Le recourant, qui obtient gain de cause, a droit à des dépens à la charge de l'intimée ( art. 68 al. 1 LTF ), de sorte que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