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9C_80/2016 vom 10. August 2016</w:t>
      </w:r>
    </w:p>
    <w:p>
      <w:r>
        <w:t>Bundesgericht, 2016-08-10, FR</w:t>
      </w:r>
    </w:p>
    <w:p>
      <w:r>
        <w:rPr>
          <w:b/>
        </w:rPr>
        <w:t xml:space="preserve">Quelle: </w:t>
      </w:r>
      <w:r>
        <w:t>https://mcp.opencaselaw.ch/entscheid/bger_9C_80_2016</w:t>
      </w:r>
    </w:p>
    <w:p>
      <w:r>
        <w:t>FR: TF 9C_80/2016 du 10 août 2016</w:t>
      </w:r>
    </w:p>
    <w:p>
      <w:r>
        <w:t>IT: TF 9C_80/2016 del 10 agosto 2016</w:t>
      </w:r>
    </w:p>
    <w:p>
      <w:pPr>
        <w:pStyle w:val="Heading2"/>
      </w:pPr>
      <w:r>
        <w:t>Erwägungen</w:t>
      </w:r>
    </w:p>
    <w:p>
      <w:r>
        <w:rPr>
          <w:b/>
        </w:rPr>
        <w:t>E. 1</w:t>
      </w:r>
    </w:p>
    <w:p>
      <w:r>
        <w:t>Bien que le dispositif du jugement entrepris renvoie la cause à l'office recourant, il ne s'agit pas d'une décision incidente au sens de l' art. 93 LTF car l'autorité précédente a statué définitivement sur les points contestés, le renvoi de la cause ne visant que le calcul de la demi-rente d'invalidité allouée. Le recours est dès lors recevable puisqu'il est dirigé contre un jugement final ( art. 90 LTF ; ATF 134 II 124 consid. 1.3 p. 127).</w:t>
      </w:r>
    </w:p>
    <w:p>
      <w:r>
        <w:t>Par ailleurs, suivant les informations résultant du système de suivi des envois mis en place par La Poste suisse (extrait n° xxx), le recours a été déposé en temps utile compte tenu de la suspension des délais durant les féries de fin d'année, contrairement à ce que prétend l'intimée ( art. 46 al. 1 let . c et 100 al. 1 LTF). Il convient donc d'entrer en matière.</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w:t>
      </w:r>
    </w:p>
    <w:p>
      <w:r>
        <w:t>Compte tenu des conclusions et motifs du recours, le litige porte sur le droit de l'intimée à une demi-rente de l'assurance-invalidité au-delà du 31 octobre 2012. Le jugement entrepris expose de manière complète les règles légales applicables, si bien qu'il suffit d'y renvoyer.</w:t>
      </w:r>
    </w:p>
    <w:p>
      <w:r>
        <w:rPr>
          <w:b/>
        </w:rPr>
        <w:t>E. 4.1</w:t>
      </w:r>
    </w:p>
    <w:p>
      <w:r>
        <w:t>La juridiction cantonale a considéré que l'office AI avait limité à tort le droit de l'intimée à une demi-rente de l'assurance-invalidité au 31 octobre 2012. La modification de la posologie du traitement médicamenteux de l'intimée survenue en été 2012 n'avait été due qu'à un concours de circonstances, A.________ s'étant retrouvée à court de médicaments lors de ses vacances à l'étranger. Elle ne pouvait par conséquent en aucun cas être interprétée comme une amélioration de l'état de santé de l'intimée, de sorte que les conclusions du docteur D.________ ne pouvaient être suivies. Si l'on pouvait par ailleurs émettre quelques critiques contre les conclusions de l'expert judiciaire - en particulier lorsque le docteur E.________ affirme que le trouble dépressif majeur était invalidant à 100 % -, il n'en demeurait pas moins que son analyse, corroborée par celle du psychiatre traitant, invalidait l'hypothèse selon laquelle l'état de santé de l'intimée s'était amélioré au mois d'août 2012.</w:t>
      </w:r>
    </w:p>
    <w:p>
      <w:r>
        <w:rPr>
          <w:b/>
        </w:rPr>
        <w:t>E. 4.2</w:t>
      </w:r>
    </w:p>
    <w:p>
      <w:r>
        <w:t>L'office AI reproche à la juridiction cantonale une appréciation arbitraire des preuves et une violation de son droit d'être entendu. Tel qu'invoqué dans le recours en lien avec le choix des premiers juges de suivre certaines conclusions médicales au détriment d'autres, le grief de violation du droit d'être entendu n'a pas de portée propre par rapport à celui tiré de l'arbitraire dans l'appréciation des preuves (cf. arrêt 8C_15/2009 du 11 janvier 2010 consid. 3.2, in SVR 2010 IV n° 42 p. 132), de sorte qu'il sera examiné avec les autres motifs. Contrairement à ce que soutient l'office recourant, la juridiction cantonale a par ailleurs dûment motivé les raisons pour lesquelles elle n'a pas suivi les conclusions du docteur D.________. Sur le fond, l'office recourant reproche pour l'essentiel à la juridiction cantonale d'avoir arbitrairement fait sienne une partie seulement des conclusions de l'expert judiciaire et d'avoir écarté celles du docteur D.________ à la suite d'une appréciation manifestement inexacte des faits.</w:t>
      </w:r>
    </w:p>
    <w:p>
      <w:r>
        <w:rPr>
          <w:b/>
        </w:rPr>
        <w:t>E. 5</w:t>
      </w:r>
    </w:p>
    <w:p>
      <w:r>
        <w:t>En l'occurrence, il n'y a pas lieu de s'écarter de l'appréciation des preuves à laquelle la juridiction cantonale s'est livrée.</w:t>
      </w:r>
    </w:p>
    <w:p>
      <w:r>
        <w:rPr>
          <w:b/>
        </w:rPr>
        <w:t>E. 5.1</w:t>
      </w:r>
    </w:p>
    <w:p>
      <w:r>
        <w:t>L'argumentation développée dans le recours ne comporte tout d'abord aucune réfutation sérieuse des motifs pour lesquels l'autorité précédente a ordonné une expertise judiciaire. Selon la jurisprudence, il convient en effet d'ordonner un examen clinique mené par un médecin externe à l'assurance si des doutes, même faibles, subsistent quant à la fiabilité et à la pertinence des constatations médicales effectuées ( ATF 135 V 465 consid. 4.6 p. 471). Or, comme l'a constaté à juste titre la juridiction cantonale, il a vraisemblablement échappé au médecin du SMR que la variation de la prescription de Sertraline entre les mois de mars et août 2012 faisait suite à un concours de circonstances, l'intimée s'étant retrouvée à court de comprimés lors de ses vacances à l'étranger. Ainsi, au mois d'août 2012, le psychiatre traitant a décidé de réintroduire progressivement la posologie antérieure de l'antidépresseur. Quoi qu'en dise l'office recourant, le médecin du SMR a par ailleurs accordé une importance significative à la prescription de Sertraline mentionnée dans l'ordonnance du 14 août 2012, puisqu'il a fait remonter l'amélioration de l'état de santé de l'intimée au mois d'août 2012 (et non pas au mois de septembre 2012, date de l'examen clinique). C'est ainsi à juste titre que les premiers juges ont ordonné la réalisation d'une expertise judiciaire pour départager les conclusions du psychiatre traitant et celles du médecin du SMR.</w:t>
      </w:r>
    </w:p>
    <w:p>
      <w:r>
        <w:rPr>
          <w:b/>
        </w:rPr>
        <w:t>E. 5.2</w:t>
      </w:r>
    </w:p>
    <w:p>
      <w:r>
        <w:t>Le docteur E.________ a ensuite expressément indiqué que l'examen clinique ne permettait pas de conclure à une amélioration de l'état de santé de l'intimée, en particulier depuis 2012. En effet, rien n'indiquait la supériorité d'un traitement antidépresseur par rapport à un autre et il n'avait pas constaté lors de son examen clinique de réelles rémissions symptomatologiques majeures et durables. Aucun élément positif dans la vie privée de l'intimée ne pouvait par ailleurs permettre une amélioration symptomatique durable (expertise judiciaire, p. 32 ch. 12). La reprise de ces éléments par la juridiction cantonale, qui se recoupent largement avec les conclusions du psychiatre traitant, pour nier une amélioration durable de l'état de santé psychique de l'intimée, n'est pas arbitraire.</w:t>
      </w:r>
    </w:p>
    <w:p>
      <w:r>
        <w:rPr>
          <w:b/>
        </w:rPr>
        <w:t>E. 5.3</w:t>
      </w:r>
    </w:p>
    <w:p>
      <w:r>
        <w:t>Pour le surplus, contrairement à ce que soutient l'office recourant, il existe des constellations dans lesquelles l'autorité chargée de l'application du droit peut s'écarter de l'estimation de la capacité de travail réalisée dans le cadre d'une expertise judiciaire, sans pour autant que celle-ci perde sa valeur probante; la notion de capacité de travail ( art. 6 LPGA ) est une notion de droit indéterminée sur laquelle il n'appartient pas au médecin de se déterminer de manière définitive (arrêt 9C_10/2014 du 20 août 2014 consid. 7 et les références). Dans le cadre de la libre appréciation des preuves dont ils disposent, l'administration et le juge ne sauraient en effet ni ignorer les constatations de fait des médecins, ni faire leurs les estimations et conclusions médicales relatives à la capacité (résiduelle) de travail, sans procéder à un examen préalable de leur pertinence du point de vue du droit des assurances sociales ( ATF 140 V 193 consid. 3.1 p. 194 et 3.2 p. 195). Ce faisant, le simple fait que les premiers juges n'ont pas entièrement suivi les conclusions de l'expert sur la capacité de travail de l'intimée, mais repris celles du psychiatre traitant, ne constitue pas une violation du droit fédéral. Faute de griefs suffisamment motivés, il n'y a pas lieu de remettre en cause le résultat de leur appréciation des preuves.</w:t>
      </w:r>
    </w:p>
    <w:p>
      <w:r>
        <w:rPr>
          <w:b/>
        </w:rPr>
        <w:t>E. 6</w:t>
      </w:r>
    </w:p>
    <w:p>
      <w:r>
        <w:t>Le recours, mal fondé, doit être rejeté. Succombant, l'office recourant doit supporter les frais de justice afférents à la présente procédure (art. 66 al. 1, 1ère phrase, LTF), ainsi que l'indemnité de dépens que peut prétendre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