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9C_80/2014 vom 3. April 2014</w:t>
      </w:r>
    </w:p>
    <w:p>
      <w:r>
        <w:t>Bundesgericht, 2014-04-03, FR</w:t>
      </w:r>
    </w:p>
    <w:p>
      <w:r>
        <w:rPr>
          <w:b/>
        </w:rPr>
        <w:t xml:space="preserve">Quelle: </w:t>
      </w:r>
      <w:r>
        <w:t>https://mcp.opencaselaw.ch/entscheid/bger_9C_80_2014</w:t>
      </w:r>
    </w:p>
    <w:p>
      <w:r>
        <w:t>FR: TF 9C_80/2014 du 3 avril 2014</w:t>
      </w:r>
    </w:p>
    <w:p>
      <w:r>
        <w:t>IT: TF 9C_80/2014 del 3 aprile 2014</w:t>
      </w:r>
    </w:p>
    <w:p>
      <w:pPr>
        <w:pStyle w:val="Heading2"/>
      </w:pPr>
      <w:r>
        <w:t>Erwägungen</w:t>
      </w:r>
    </w:p>
    <w:p>
      <w:r>
        <w:rPr>
          <w:b/>
        </w:rPr>
        <w:t>E. 1</w:t>
      </w:r>
    </w:p>
    <w:p>
      <w:r>
        <w:t>Saisi d'un recours en matière de droit public (cf. art. 82 ss LTF ) interjeté pour violation du droit fédéral (comprenant les droits fondamentaux) au sens de l' art. 95 let. a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la constatation des faits influant sur le sort du litige que si ceux-ci ont été établis en violation du droit ou de façon manifestement inexacte ( art. 97 al. 1 LTF ).</w:t>
      </w:r>
    </w:p>
    <w:p>
      <w:r>
        <w:rPr>
          <w:b/>
        </w:rPr>
        <w:t>E. 2</w:t>
      </w:r>
    </w:p>
    <w:p>
      <w:r>
        <w:t>L'objet du litige est en l'occurrence le droit de l'intimé à des allocations pour perte de gain dans le cadre d'une période d'affectation au service civil. Vu les critiques que la caisse de compensation recourante formule contre le jugement cantonal ainsi que les exigences de motivation et d'allégation prévues à l' art. 42 al. 2 LTF ( ATF 133 III 545 consid. 2.2 p. 550; dans ce sens, voir aussi Florence Aubry Girardin, in: Commentaire de la LTF, 2009, n° 25 ad art. 42 LTF ), il s'agit singulièrement d'examiner si le tribunal cantonal pouvait légitimement déduire des circonstances que l'assuré avait achevé sa formation immédiatement avant d'entrer en service et que son allocation devait dès lors être calculée sur la base du salaire initial versé selon l'usage local dans la profession concernée. L'acte attaqué expose les dispositions légales et les principes jurisprudentiels indispensables à la résolution du cas. Il suffit donc d'y renvoyer.</w:t>
      </w:r>
    </w:p>
    <w:p>
      <w:r>
        <w:rPr>
          <w:b/>
        </w:rPr>
        <w:t>E. 3.1</w:t>
      </w:r>
    </w:p>
    <w:p>
      <w:r>
        <w:t>La juridiction cantonale a constaté que, compte tenu des circonstances établies du cas particulier (diplôme universitaire obtenu le 22 juin 2012 et reçu le 31 juillet 2012; remplacements effectués avant et après la fin des études, en particulier pendant le mois de septembre 2012; remplacement de longue durée proposé à partir du 6 novembre 2012), des spécificités du domaine de l'enseignement dans lequel l'intimé projetait son avenir (contrat d'engagement ne pouvant débuter avant le début de l'année scolaire), des renseignements communiqués par celui-ci (recherche d'une place de remplaçant à plein temps voir dans un autre secteur dès la fin des études pour le cas où l'obligation de servir n'avait pas été agendée pour le mois d'octobre 2012; entreprise de la maîtrise spécialisée en enseignement secondaire et d'un remplacement à 50% depuis le mois de septembre 2013) et des autres éléments figurant au dossier (absence de recherche de travail dans un autre domaine que celui de l'enseignement; obligation d'avoir une maîtrise universitaire spécialisée en enseignement secondaire pour enseigner dans le canton de Genève; incompatibilité de la maîtrise universitaire spécialisée en enseignement secondaire et l'exercice d'un emploi à plein temps), il était vraisemblable que l'assuré avait assumé une place de remplaçant dans l'enseignement à mi-temps dans le contexte de sa maîtrise universitaire en enseignement secondaire dès le mois de septembre 2012 s'il n'avait pas été obligé d'accomplir une période d'affectation à partir du 1er octobre 2012. D'après elle, l'allocation devait donc être déterminée en fonction du salaire usuel pour un tel poste.</w:t>
      </w:r>
    </w:p>
    <w:p>
      <w:r>
        <w:rPr>
          <w:b/>
        </w:rPr>
        <w:t>E. 3.2</w:t>
      </w:r>
    </w:p>
    <w:p>
      <w:r>
        <w:t>L'administration recourante critique ces conclusions. Elle reproche fondamentalement aux premiers juges d'avoir procédé à une appréciation arbitraire des preuves. Elle conteste tout d'abord le point, selon lequel la formation de l'assuré se serait achevée par l'obtention du diplôme en géographie et sciences du territoire, puisque celui-ci a complété son</w:t>
      </w:r>
    </w:p>
    <w:p>
      <w:r>
        <w:t>cursus universitaire par une maîtrise spécialisée en enseignement secondaire. Elle soutient ensuite que la période de latence admise généralement entre la fin d'une formation et le début du service n'est que de quelques dizaines de jours et pas de quatre mois comme en l'espèce, de sorte que l'intimé aurait eu le temps de chercher un emploi. Elle souligne enfin que l'assuré avait échoué à démontrer qu'il aurait postulé pour un travail de longue durée, s'il n'avait pas dû accomplir une période d'affectation, dans la mesure où le seul élément rendu vraisemblable en l'occurrence est le remplacement prévu du 3 décembre 2012 jusqu'au terme de l'année scolaire 2012/2013 auprès du Collège Y.________ qui ne saurait en aucun cas être qualifié d'emploi de longue durée.</w:t>
      </w:r>
    </w:p>
    <w:p>
      <w:r>
        <w:rPr>
          <w:b/>
        </w:rPr>
        <w:t>E. 4</w:t>
      </w:r>
    </w:p>
    <w:p>
      <w:r>
        <w:t>Les critiques de la caisse de compensation recourante sont infondées.</w:t>
      </w:r>
    </w:p>
    <w:p>
      <w:r>
        <w:rPr>
          <w:b/>
        </w:rPr>
        <w:t>E. 4.1</w:t>
      </w:r>
    </w:p>
    <w:p>
      <w:r>
        <w:t>Contrairement à ce que celle-ci prétend, le fait pour l'intimé d'avoir commencé une maîtrise universitaire spécialisée en enseignement secondaire après l'obtention de la maîtrise universitaire en géographie et sciences du territoire ne suffit pas à démontrer que le tribunal cantonal s'est trompé en considérant que l'assuré avait achevé sa formation, au sens des art. 1 al. 2 let . c et 4 al. 2 seconde phrase RAPG. La maîtrise en géographie et sciences du territoire est effectivement une formation complète en soi qui permet d'accéder à différents métiers, dont l'enseignement, et ne peut être considérée comme une étape vers ce domaine professionnel. S'il est vrai que le Département de l'instruction publique du canton de Genève exige une maîtrise spécialisée en enseignement secondaire - ou un diplôme jugé équivalent - pour enseigner sur son territoire, il n'en demeure pas moins que ladite formation constitue une formation complémentaire technique, visant à permettre une pratique éclairée de l'enseignement et conçue pour accompagner un poste à mi-temps. L'absence de diplôme en enseignement secondaire ne fait donc pas obstacle à l'occupation d'un poste de professeur-remplaçant, ni à l'occupation d'un poste de titulaire, à temps partiel, simultanément à l'accomplissement de ladite formation. Il n'était dès lors pas arbitraire, ni contraire au droit de retenir que l'intimé avait terminé une formation.</w:t>
      </w:r>
    </w:p>
    <w:p>
      <w:r>
        <w:rPr>
          <w:b/>
        </w:rPr>
        <w:t>E. 4.2</w:t>
      </w:r>
    </w:p>
    <w:p>
      <w:r>
        <w:t>S'agissant par ailleurs de l'immédiateté légalement exigée entre la fin de la formation et le début de la période d'affectation, on remarquera que l'allusion à une pratique considérée comme établie par une juridiction cantonale («délai de latence [...] de quelques dizaines de jours seulement») - non-examinée mais non-annulée par le Tribunal fédéral - ne saurait être qualifiée de «communément admise», dès lors que le Tribunal fédéral n'a pas nécessairement entériné cette soi-disant pratique étant donné son pouvoir d'examen restreint (cf. consid. 1) et qu'on ignore tout des circonstances du cas particulier, d'autant moins que de telles circonstances sont essentielles pour statuer sur le point litigieux, comme le suggèrent les premiers juges. En effet, il ressort des constatations de ceux-ci que l'assuré avait entrepris des démarches afin d'organiser une seconde période d'affectation avant même d'avoir obtenu son diplôme et fait tout ce qui était en son pouvoir pour commencer ladite période le plus rapidement possible, ainsi que l'a attesté la Fondation auprès de laquelle s'est accompli le service civil. On ne saurait en l'espèce imputer à l'intimé les facteurs impondérables rencontrés dans l'organisation de sa seconde période d'affectation de sorte que, même si trois mois s'étaient écoulés entre les moments déterminants, le tribunal cantonal pouvait admettre que la condition de l'immédiateté était remplie sans violer le droit, ni commettre d'arbitraire. On ajoutera enfin qu'il est vain de reprocher à l'assuré de ne pas avoir recherché de travail pendant le délai de latence, dès lors qu'il a été établi par la juridiction cantonale que celui-ci avait effectué un remplacement en septembre 2012 et qu'on ne saurait exiger d'un diplômé qui se destine à l'enseignement qu'il exerce pour la première fois son métier durant les vacances d'été ni de tout individu qu'il entreprenne simultanément l'organisation d'une période d'affectation ainsi que des recherches d'emploi de durée indéterminée dans la mesure où ces deux genres d'activités sont foncièrement incompatibles.</w:t>
      </w:r>
    </w:p>
    <w:p>
      <w:r>
        <w:rPr>
          <w:b/>
        </w:rPr>
        <w:t>E. 4.3</w:t>
      </w:r>
    </w:p>
    <w:p>
      <w:r>
        <w:t>Compte tenu de ce qui précède, les premiers juges pouvaient légitimement admettre la vraisemblance de l'exercice à 50% d'une activité de remplaçant dans l'enseignement et la préparation d'une maîtrise en enseignement secondaire dès le mois de septembre 2012, pour le cas où la seconde période d'affection n'avait pas commencé le 1er octobre 2012. Les conditions des art. 1 al. 2 let . c et 4 al. 2 seconde phrase RAPG étant réunies, ils n'avaient pas à examiner d'autres cas de figure. Il n'est dès lors pas nécessaire d'examiner le troisième grief soulevé par la caisse de compensation recourante. Son recours doit être rejeté.</w:t>
      </w:r>
    </w:p>
    <w:p>
      <w:r>
        <w:rPr>
          <w:b/>
        </w:rPr>
        <w:t>E. 5</w:t>
      </w:r>
    </w:p>
    <w:p>
      <w:r>
        <w:t>Vu l'issue du litige, les frais judiciaires sont à la charge de l'administration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