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9C_807/2019 vom 17. Dezember 2019</w:t>
      </w:r>
    </w:p>
    <w:p>
      <w:r>
        <w:t>Bundesgericht, 2019-12-17, DE</w:t>
      </w:r>
    </w:p>
    <w:p>
      <w:r>
        <w:rPr>
          <w:b/>
        </w:rPr>
        <w:t xml:space="preserve">Quelle: </w:t>
      </w:r>
      <w:r>
        <w:t>https://mcp.opencaselaw.ch/entscheid/bger_9C_807_2019</w:t>
      </w:r>
    </w:p>
    <w:p>
      <w:r>
        <w:t>FR: TF 9C_807/2019 du 17 décembre 2019</w:t>
      </w:r>
    </w:p>
    <w:p>
      <w:r>
        <w:t>IT: TF 9C_807/2019 del 17 dicembre 2019</w:t>
      </w:r>
    </w:p>
    <w:p>
      <w:pPr>
        <w:pStyle w:val="Heading2"/>
      </w:pPr>
      <w:r>
        <w:t>Erwägungen</w:t>
      </w:r>
    </w:p>
    <w:p>
      <w:r>
        <w:rPr>
          <w:b/>
        </w:rPr>
        <w:t>E. 2</w:t>
      </w:r>
    </w:p>
    <w:p>
      <w:r>
        <w:t>drei neu erstellte Häuser befinden würden, dies jedenfalls seit 2012, so dass der Wert der Liegenschaft nicht wie bisher angenommen Fr. 54'000.-, sondern Fr. 148'000.- betrage,</w:t>
      </w:r>
    </w:p>
    <w:p>
      <w:r>
        <w:t>dass sich die Versicherten demgegenüber darauf beschränken, ihre eigene Sichtweise darzustellen und appellatorische Kritik am vorinstanzlichen Entscheid zu üben, was nicht genügt (vgl. BGE 140 III 264 E. 2.3 S. 266 f.),</w:t>
      </w:r>
    </w:p>
    <w:p>
      <w:r>
        <w:t>dass deshalb im vereinfachten Verfahren nach Art. 108 Abs. 1 lit. a und b BGG auf die Beschwerde nicht einzutreten ist,</w:t>
      </w:r>
    </w:p>
    <w:p>
      <w:r>
        <w:t>dass in Anwendung von Art. 66 Abs. 1 Satz 2 BGG umständehalber auf die Erhebung von Gerichtskosten verzichtet wird,</w:t>
      </w:r>
    </w:p>
    <w:p>
      <w:r>
        <w:t>erkennt die Präsidentin: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