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9C_807/2014 vom 9. September 2015</w:t>
      </w:r>
    </w:p>
    <w:p>
      <w:r>
        <w:t>Bundesgericht, 2015-09-09, FR</w:t>
      </w:r>
    </w:p>
    <w:p>
      <w:r>
        <w:rPr>
          <w:b/>
        </w:rPr>
        <w:t xml:space="preserve">Quelle: </w:t>
      </w:r>
      <w:r>
        <w:t>https://mcp.opencaselaw.ch/entscheid/bger_9C_807_2014</w:t>
      </w:r>
    </w:p>
    <w:p>
      <w:r>
        <w:t>FR: TF 9C_807/2014 du 9 septembre 2015</w:t>
      </w:r>
    </w:p>
    <w:p>
      <w:r>
        <w:t>IT: TF 9C_807/2014 del 9 settembre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Se plaignant initialement d'une violation du droit des parties à une composition régulière du tribunal en relation avec les art. 21 et 23 de la loi du 17 juin 2005 sur le Tribunal administratif fédéral (LTAF; RS 173.32) et l' art. 85bis al. 3 LAVS , le recourant a indiqué que le Tribunal fédéral examinait d'office les conditions formelles et de régularité de la procédure de première instance. Au cours de l'échange d'écritures ordonné par le Tribunal fédéral, il a requis de celui-ci qu'il renonce à renvoyer la cause au Tribunal administratif fédéral pour nouveau jugement parce qu'une telle manière de procéder heurterait le principe de célérité et ne présenterait pas d'intérêt dans sa cause, le Tribunal fédéral appliquant le droit d'office.</w:t>
      </w:r>
    </w:p>
    <w:p>
      <w:r>
        <w:rPr>
          <w:b/>
        </w:rPr>
        <w:t>E. 2.2</w:t>
      </w:r>
    </w:p>
    <w:p>
      <w:r>
        <w:t>Compte tenu du domicile à l'étranger du recourant et du domaine sur lequel porte la contestation portée devant l'autorité judiciaire, la régularité de la composition du Tribunal administratif fédéral est, en l'espèce, régie par le droit fédéral. Selon l' art. 69 al. 1 let. b LAI , les décisions de l'Office de l'assurance-invalidité pour les assurés résidant à l'étranger peuvent, en dérogation aux art. 52 et 58 LPGA , faire l'objet d'un recours devant le Tribunal administratif fédéral. Conformément à l' art. 85bis al. 3 LAVS , applicable par analogie par renvoi de l' art. 69 al. 2 LAI ,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Cette compétence particulière du juge unique est réservée à l' art. 23 al. 2 LTAF , étant précisé que les cours du Tribunal administratif fédéral statuent en règle générale à trois juges ( art. 21 al. 1 LTAF ).</w:t>
      </w:r>
    </w:p>
    <w:p>
      <w:r>
        <w:rPr>
          <w:b/>
        </w:rPr>
        <w:t>E. 2.3</w:t>
      </w:r>
    </w:p>
    <w:p>
      <w:r>
        <w:t>Le point de savoir si le jugement entrepris a été rendu dans une composition régulière est régi dans le cas d'espèce par le droit fédéral dont le Tribunal fédéral vérifie d'office le respect ( art. 106 al. 1 LTF ). Même si le recourant a renoncé à se plaindre du vice en question, il convient de le relever d'office, à la différence de la situation où la composition de l'instance précédente est régie par le droit cantonal (cf. ATF 140 II 141 consid. 1 p. 144).</w:t>
      </w:r>
    </w:p>
    <w:p>
      <w:r>
        <w:rPr>
          <w:b/>
        </w:rPr>
        <w:t>E. 3.1</w:t>
      </w:r>
    </w:p>
    <w:p>
      <w:r>
        <w:t>Selon la jurisprudence, un recours contre une décision de l'Office de l'assurance-invalidité pour les assurés résidant à l'étranger est considéré comme manifestement infondé au sens de l'art. 85</w:t>
      </w:r>
    </w:p>
    <w:p>
      <w:r>
        <w:t>bis al. 3 LAVS, lorsqu'il apparaît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 du Tribunal fédéral des assurances I 622/01 du 30 octobre 2002; voir également arrêt 9C_723/2014 du 24 mars 2015 consid. 3.1).</w:t>
      </w:r>
    </w:p>
    <w:p>
      <w:r>
        <w:rPr>
          <w:b/>
        </w:rPr>
        <w:t>E. 3.2</w:t>
      </w:r>
    </w:p>
    <w:p>
      <w:r>
        <w:t>Examinant l'éventuel droit du recourant à une mesure de réadaptation de l'assurance-invalidité au regard des conditions de l' art. 9 al. 2 LAI , le juge unique de première instance a retenu que celles-ci n'étaient pas remplies. Considérant ensuite que l'application de cette disposition reposait sur le lieu de résidence et non sur la nationalité, de sorte que l'enfant de parents de nationalité suisse résidant à l'étranger et travaillant en Suisse n'avait pas droit à des mesures de réadaptation professionnelle, il a indiqué ne pas voir en quoi l' art. 9 al. 2 LAI pouvait violer le droit international.</w:t>
      </w:r>
    </w:p>
    <w:p>
      <w:r>
        <w:rPr>
          <w:b/>
        </w:rPr>
        <w:t>E. 3.3</w:t>
      </w:r>
    </w:p>
    <w:p>
      <w:r>
        <w:t>Alors que la situation de fait soumise au Tribunal administratif fédéral semblait claire - un enfant de parents ressortissants d'un Etat de l'Union européenne et frontaliers, atteint d'une bêta-thalassémie majeure, sollicite la prise en charge d'une formation professionnelle initiale au sens de l' art. 16 LAI -, les questions juridiques soulevées étaient complexes et ne pouvaient être examinées de manière sommaire.</w:t>
      </w:r>
    </w:p>
    <w:p>
      <w:r>
        <w:t>Au cours de la procédure devant l'autorité de première instance, le recourant a fait valoir, entre autres motifs, que l'application de l' art. 9 al. 2 LAI avait pour conséquence d'exclure les enfants de frontaliers du bénéficie du droit à des mesures de réadaptation de l'assurance-invalidité, ce qui constituait une discrimination indirecte en raison de la nationalité au sens de l'art. 9 de l'annexe I de l'accord du 21 juin 1999 entre la Confédération suisse, d'une part, et la Communauté européenne et ses Etats membres, d'autre part, sur la libre circulation des personnes (ALCP; RS 0.142.112.681) et de la jurisprudence de la Cour de justice de l'Union européenne. Or la règle d'égalité de traitement prévue à l'art. 9 al. 2 de l'annexe I à l'ALCP pour le domaine des avantages sociaux et l'interdiction générale de discrimination de l' art. 2 ALCP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 ATF 131 V 209 consid. 6 p. 214; 390 consid. 5 p. 396 et les références; voir également ATF 137 II 242 consid. 3.2.1 p. 243).</w:t>
      </w:r>
    </w:p>
    <w:p>
      <w:r>
        <w:t>Dans ces conditions, le recours daté du 29 août 2013 n'apparaissait pas d'emblée, en fonction d'un examen sommaire mais certain, dépourvu de chance de succès. Il ne pouvait en particulier être rejeté avec la seule référence à une absence de discrimination fondée sur la nationalité, sans traiter de l'argumentation tirée d'une éventuelle discrimination indirecte pouvant résulter, par exemple, de l'exigence de résidence (Astrid Epiney, Das Verbot der Diskriminierung aus Gründen der Staatsangehörigkeit im Personenfreizügigkeitsabkommen, SJZ 2009 p. 29) ou, à défaut, du champ d'application des dispositions de droit conventionnel invoquées par le recourant.</w:t>
      </w:r>
    </w:p>
    <w:p>
      <w:r>
        <w:rPr>
          <w:b/>
        </w:rPr>
        <w:t>E. 3.4</w:t>
      </w:r>
    </w:p>
    <w:p>
      <w:r>
        <w:t>Il résulte de ce qui précède que le Tribunal administratif fédéral n'était pas en droit de se prononcer dans une composition à un juge. Le jugement entrepris doit par conséquent être annulé, sans qu'il soit nécessaire d'examiner les griefs soulevés au fond par le recourant. La cause est renvoyée au Tribunal administratif fédéral pour qu'il statue à nouveau dans une composition conforme à la loi.</w:t>
      </w:r>
    </w:p>
    <w:p>
      <w:r>
        <w:rPr>
          <w:b/>
        </w:rPr>
        <w:t>E. 4</w:t>
      </w:r>
    </w:p>
    <w:p>
      <w:r>
        <w:t>Vu l'issue de la procédure, les frais judiciaires y afférents sont mis à la charge de l'intimé ( art. 66 al. 1 LTF ). Celui-ci versera également une indemnité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