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9C_804/2018 vom 23. Januar 2019</w:t>
      </w:r>
    </w:p>
    <w:p>
      <w:r>
        <w:t>Bundesgericht, 2019-01-23, DE</w:t>
      </w:r>
    </w:p>
    <w:p>
      <w:r>
        <w:rPr>
          <w:b/>
        </w:rPr>
        <w:t xml:space="preserve">Quelle: </w:t>
      </w:r>
      <w:r>
        <w:t>https://mcp.opencaselaw.ch/entscheid/bger_9C_804_2018</w:t>
      </w:r>
    </w:p>
    <w:p>
      <w:r>
        <w:t>FR: TF 9C_804/2018 du 23 janvier 2019</w:t>
      </w:r>
    </w:p>
    <w:p>
      <w:r>
        <w:t>IT: TF 9C_804/2018 del 23 gennaio 2019</w:t>
      </w:r>
    </w:p>
    <w:p>
      <w:pPr>
        <w:pStyle w:val="Heading2"/>
      </w:pPr>
      <w:r>
        <w:t>Erwägungen</w:t>
      </w:r>
    </w:p>
    <w:p>
      <w:r>
        <w:rPr>
          <w:b/>
        </w:rPr>
        <w:t>E. 1.1</w:t>
      </w:r>
    </w:p>
    <w:p>
      <w:r>
        <w:t>Das Gesuch um Ausstand einer bestimmten Bundesrichterin (vgl. Art. 34 BGG ) zielt ins Leere, da sie ohnehin nicht zum Spruchkörper gehört.</w:t>
      </w:r>
    </w:p>
    <w:p>
      <w:r>
        <w:rPr>
          <w:b/>
        </w:rPr>
        <w:t>E. 1.2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1.3</w:t>
      </w:r>
    </w:p>
    <w:p>
      <w:r>
        <w:t>Bei den gerichtlichen Feststellungen zum Gesundheitszustand und zur Arbeitsfähigkeit sowie bei der konkreten Beweiswürdigung handelt es sich um Tatfragen ( BGE 132 V 393 E. 3.2 S. 397 ff.). Dagegen sind frei überprüfbare Rechtsfragen die unvollständige Feststellung rechtserheblicher Tatsachen sowie die Missachtung des Untersuchungsgrundsatzes ( Art. 43 Abs. 1, Art. 61 lit. c ATSG ) und der Anforderungen an die Beweiskraft ärztlicher Berichte und Gutachten (vgl. BGE 134 V 231 E. 5.1 S. 232; 125 V 351 E. 3a S. 352). Gleiches gilt für die Frage, ob und in welchem Umfang die Feststellungen in einem medizinischen Gutachten anhand der rechtserheblichen Indikatoren auf Arbeitsunfähigkeit schliessen lassen ( BGE 141 V 281 E. 7 S. 308 f.; Urteil 9C_504/2018 vom 3. Dezember 2018 E. 1.2).</w:t>
      </w:r>
    </w:p>
    <w:p>
      <w:r>
        <w:rPr>
          <w:b/>
        </w:rPr>
        <w:t>E. 2.1</w:t>
      </w:r>
    </w:p>
    <w:p>
      <w:r>
        <w:t>Das kantonale Gericht hat dem psychiatrischen Gutachten des Dr. med. B.________ vom 6. Juni 2016 in Bezug auf den medizinischen Sachverhalt Beweiskraft beigemessen und nach einer Indikatorenprüfung im Sinne von BGE 141 V 281 einen invalidenversicherungsrechtlich relevanten Gesundheitsschaden verneint.</w:t>
      </w:r>
    </w:p>
    <w:p>
      <w:r>
        <w:rPr>
          <w:b/>
        </w:rPr>
        <w:t>E. 2.2</w:t>
      </w:r>
    </w:p>
    <w:p>
      <w:r>
        <w:t>Was die Beschwerdeführerin gegen das Gutachten des Dr. med. B.________ und die vorinstanzliche Beweiswürdigung vorbringt, hält nicht stand. Sowohl die Durchführung von psychiatrischen Tests als auch das Einholen fremdanamnestischer Auskünfte unterliegt grundsätzlich der Fachkenntnis und dem Ermessensspielraum des Experten (Urteile 9C_275/2016 vom 19. August 2016 E. 4.3.2; I 305/06 vom 22. Mai 2007 E. 3.2). Sodann ist die diagnostische Einordnung des Leidens (als generalisierte Angststörung [ICD-10 F41.1] gemäss Dr. med. B.________ oder als Persönlichkeitsstörung [ICD-10 F61.0] resp. Traumafolgestörung [ICD-10 F62] gemäss Dr. med. C.________ und lic. phil. D.________) nicht ausschlaggebend; vielmehr ist auf objektivierter Beurteilungsgrundlage zu prüfen, ob eine rechtlich relevante Arbeits- und Erwerbsunfähigkeit nachzuweisen ist ( BGE 143 V 409 E. 4.5.2 S. 416). Zudem ist im Zusammenhang mit abweichenden Einschätzungen sowohl dem Unterschied zwischen Behandlungs- und Begutachtungsauftrag ( BGE 125 V 351 E. 3b/cc S. 353; Urteile 8C_740/2010 vom 29. September 2011 E. 6 und 9C_842/2009 vom 17. November 2009 E. 2.2) als auch dem Umstand, dass die ärztliche Beurteilung von der Natur der Sache her unausweichlich Ermessenszüge trägt ( BGE 137 V 210 E. 3.4.2.3 S. 253; Urteil 9C_397/2015 vom 6. August 2015 E. 5.3), Rechnung zu tragen. Weiter war weder für die Einschätzungen des Gutachters noch für die Beurteilung der Vorinstanz von entscheidender Bedeutung, ob sich die Begleitperson der Versicherten schon vor deren Untersuchung durch den Experten oder erst später in dessen Praxis einfand, ob die Versicherte (gelegentlich) Velo fährt, oder ob sie den Gutachter zum Betasten ihres unteren Rückens aufforderte. Somit kann offenbleiben, ob die entsprechenden Behauptungen und Beweismittel im Sinne von Art. 99 Abs. 1 BGG zulässig sind. Schliesslich sind die Vorwürfe der Falschbeurkundung resp. des Betrugs im Zusammenhang mit Begutachtungen allgemein gehalten und nicht für den konkreten Fall substanziiert (vgl. Art. 42 Abs. 1 und 2 BGG ), weshalb sich diesbezügliche Weiterungen erübrigen.</w:t>
      </w:r>
    </w:p>
    <w:p>
      <w:r>
        <w:rPr>
          <w:b/>
        </w:rPr>
        <w:t>E. 2.3</w:t>
      </w:r>
    </w:p>
    <w:p>
      <w:r>
        <w:t>Nach dem Gesagten beruhen die vorinstanzliche Beweiswürdigung und Sachverhaltsfeststellung nicht auf einer Rechtsverletzung. Sie sind auch nicht offensichtlich unrichtig (unhaltbar, willkürlich: BGE 135 II 145 E. 8.1 S. 153; Urteil 9C_607/2012 vom 17. April 2013 E. 5.2), weshalb sie für das Bundesgericht verbindlich bleiben (E. 1.2). Ohnehin beschränkt sich die Beschwerdeführerin über weite Strecken auf eine von der Vorinstanz abweichende Beweiswürdigung (vgl. Urteile 9C_714/2015 vom 29. April 2016 E. 4.3; 9C_65/2012 vom 28. Februar 2012 E. 4.3 mit Hinweisen) resp. appellatorische Kritik (vgl. BGE 140 III 264 E. 2.3 S. 266), was nicht genügt.</w:t>
      </w:r>
    </w:p>
    <w:p>
      <w:r>
        <w:rPr>
          <w:b/>
        </w:rPr>
        <w:t>E. 2.4</w:t>
      </w:r>
    </w:p>
    <w:p>
      <w:r>
        <w:t>Da die Beschwerde offensichtlich unbegründet ist, wird sie im Verfahren nach Art. 109 Abs. 2 lit. a BGG mit summarischer Begründung und unter Hinweis auf den kantonalen Gerichtsentscheid (Abs. 3) erledigt.</w:t>
      </w:r>
    </w:p>
    <w:p>
      <w:r>
        <w:rPr>
          <w:b/>
        </w:rPr>
        <w:t>E. 3</w:t>
      </w:r>
    </w:p>
    <w:p>
      <w:r>
        <w:t>Dem Ausgang des Verfahrens entsprechend hat die Beschwerdeführerin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