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9C_803/2017 vom 12. April 2018</w:t>
      </w:r>
    </w:p>
    <w:p>
      <w:r>
        <w:t>Bundesgericht, 2018-04-12, DE</w:t>
      </w:r>
    </w:p>
    <w:p>
      <w:r>
        <w:rPr>
          <w:b/>
        </w:rPr>
        <w:t xml:space="preserve">Quelle: </w:t>
      </w:r>
      <w:r>
        <w:t>https://mcp.opencaselaw.ch/entscheid/bger_9C_803_2017</w:t>
      </w:r>
    </w:p>
    <w:p>
      <w:r>
        <w:t>FR: TF 9C_803/2017 du 12 avril 2018</w:t>
      </w:r>
    </w:p>
    <w:p>
      <w:r>
        <w:t>IT: TF 9C_803/2017 del 12 aprile 2018</w:t>
      </w:r>
    </w:p>
    <w:p>
      <w:pPr>
        <w:pStyle w:val="Heading2"/>
      </w:pPr>
      <w:r>
        <w:t>Erwägungen</w:t>
      </w:r>
    </w:p>
    <w:p>
      <w:r>
        <w:rPr>
          <w:b/>
        </w:rPr>
        <w:t>E. 1</w:t>
      </w:r>
    </w:p>
    <w:p>
      <w:r>
        <w:t>Streitgegenstand bildet die vorinstanzlich bestätigte Aufhebung der ganzen Rente des Beschwerdeführers.</w:t>
      </w:r>
    </w:p>
    <w:p>
      <w:r>
        <w:rPr>
          <w:b/>
        </w:rPr>
        <w:t>E. 2.1</w:t>
      </w:r>
    </w:p>
    <w:p>
      <w:r>
        <w:t>Die Beschwerdegegnerin verfügte die Rentenaufhebung gestützt auf lit. a Abs. 1 der Schlussbestimmungen der Änderung des IVG vom 18. März 2011 (6. IV-Revision, erstes Massnahmenpaket, in Kraft getreten am 1. Januar 2012; im Folgenden: SchlB zur 6. IV-Revision). Nach dieser Bestimmung werden Renten, die bei pathogenetisch-ätiologisch unklaren syndromalen Beschwerdebildern ohne nachweisbare organische Grundlage gesprochen wurden, innerhalb von drei Jahren nach Inkrafttreten dieser Änderung überprüft (Satz 1). Sind die Voraussetzungen nach Artikel 7 ATSG nicht erfüllt, so wird die Rente herabgesetzt oder aufgehoben, auch wenn die Voraussetzungen von Artikel 17 Abs. 1 ATSG nicht erfüllt sind (Satz 2).</w:t>
      </w:r>
    </w:p>
    <w:p>
      <w:r>
        <w:rPr>
          <w:b/>
        </w:rPr>
        <w:t>E. 2.2</w:t>
      </w:r>
    </w:p>
    <w:p>
      <w:r>
        <w:t>Das kantonale Versicherungsgericht hat offengelassen, ob im vorliegenden Fall lit. a Abs. 1 SchlB zur 6. IV-Revision anwendbar ist (vgl. dazu BGE 140 V 197 ). Es hat geprüft, ob die Rente gestützt auf Art. 17 Abs. 1 ATSG (i.V.m. Art. 1 Abs. 1 IVG und Art. 2 ATSG ) aufzuheben ist. Nach dieser Bestimmung wird die Rente bei einer erheblichen Änderung des Invaliditätsgrades ( Art. 28 Abs. 2 IVG ) entsprechend erhöht, herabgesetzt oder aufgehoben. Das Gericht hat die Frage bejaht und die angefochtene Verfügung im Ergebnis mit einer anderen Begründung geschützt.</w:t>
      </w:r>
    </w:p>
    <w:p>
      <w:r>
        <w:rPr>
          <w:b/>
        </w:rPr>
        <w:t>E. 3</w:t>
      </w:r>
    </w:p>
    <w:p>
      <w:r>
        <w:t>Die Vorinstanz durfte im Rahmen der Rechtsanwendung von Amtes wegen ( Art. 62 Abs. 1 ATSG i.V.m. Art. 110 BGG ) die Rechtmässigkeit der Aufhebung der ganzen Rente des Beschwerdeführers im Lichte von Art. 17 Abs. 1 ATSG überprüfen (Urteil 9C_800/2016 vom 9. Mai 2017 E. 2.2). Wie er indessen vorbringt, war dieser Rückkommenstitel weder im Vorbescheid und in der Verfügung noch in den vorinstanzlichen Rechtsschriften thematisiert worden. Unter diesen Umständen hatte das kantonale Versicherungsgericht nach Art. 29 Abs. 2 BV den Parteien vorgängig das rechtliche Gehör zu gewähren, wenn es beabsichtigte, die in Anwendung von lit. a Abs. 1 SchlB zur 6. IV-Revision verfügte Rentenaufhebung neu mit der substituierten Begründung der (materiellen) Revision nach Art. 17 Abs. 1 ATSG zu bestätigen (Urteile 8C_529/2016 vom 26. Oktober 2016 E. 4.2.3 und 9C_880/2014 vom 6. November 2015 E. 3.2.1). Das hat es nicht getan. Der angefochtene Entscheid ist daher aufzuheben und die Sache an die Vorinstanz zurückzuweisen, damit es das Versäumte nachhole und danach neu entscheide (Urteile 9C_766/2016 vom 3. April 2017 E. 3.3 und 9C_361/2015 vom 17. Juli 2015 E. 5.2).</w:t>
      </w:r>
    </w:p>
    <w:p>
      <w:r>
        <w:rPr>
          <w:b/>
        </w:rPr>
        <w:t>E. 4</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