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9C_803/2014 vom 17. September 2015</w:t>
      </w:r>
    </w:p>
    <w:p>
      <w:r>
        <w:t>Bundesgericht, 2015-09-17, DE</w:t>
      </w:r>
    </w:p>
    <w:p>
      <w:r>
        <w:rPr>
          <w:b/>
        </w:rPr>
        <w:t xml:space="preserve">Quelle: </w:t>
      </w:r>
      <w:r>
        <w:t>https://mcp.opencaselaw.ch/entscheid/bger_9C_803_2014</w:t>
      </w:r>
    </w:p>
    <w:p>
      <w:r>
        <w:t>FR: TF 9C_803/2014 du 17 septembre 2015</w:t>
      </w:r>
    </w:p>
    <w:p>
      <w:r>
        <w:t>IT: TF 9C_803/2014 del 17 settembre 2015</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Revision von Invalidenrenten bei wesentlicher Änderung in den tatsächlichen Verhältnissen und den diesbezüglichen zeitlichen Referenzpunkt ( Art. 17 Abs. 1 ATSG in Verbindung mit Art. 1 Abs. 1 IVG ; BGE 134 V 131 E. 3 S. 132; 133 V 108 ; 130 V 343 E. 3.5 S. 349 ff.) zutreffend dargelegt. Hierauf wird verwiesen.</w:t>
      </w:r>
    </w:p>
    <w:p>
      <w:r>
        <w:rPr>
          <w:b/>
        </w:rPr>
        <w:t>E. 3</w:t>
      </w:r>
    </w:p>
    <w:p>
      <w:r>
        <w:t>Des Weitern gelangte das kantonale Gericht - wobei es die hievor (E. 1) angeführte Kognitionsregelung zu beachten gilt - insbesondere gestützt auf das Gutachten der MEDAS B.________ vom 19. Mai 2010 zum zutreffenden Schluss, dass der Beschwerdeführer trotz seiner Spondarthropathie wieder in der Lage wäre, einer leidensangepassten Erwerbstätigkeit (in körperlicher Hinsicht leicht, wechselbelastend) im Umfange eines Pensums von 4,5 Stunden pro Tag nachzugehen, und damit ein Einkommen erzielen könnte, welches nur mehr zu einer halben Invalidenrente berechtigt.</w:t>
      </w:r>
    </w:p>
    <w:p>
      <w:r>
        <w:t>Sämtliche in der Beschwerde erhobenen Einwendungen vermögen an dieser Betrachtungsweise nichts zu ändern: Die im angefochtenen Entscheid einlässlich begründete Beweiswürdigung als solche (einschliesslich der antizipierten Schlussfolgerung, wonach keine weiteren medizinischen Abklärungen erforderlich seien) beschlägt Fragen tatsächlicher Natur und ist daher für das Bundesgericht verbindlich (E. 1 hievor), zumal von willkürlicher Abwägung durch die Vorinstanz oder anderweitiger Rechtsfehlerhaftigkeit im Sinne von Art. 105 Abs. 2 BGG nicht die Rede sein kann. Wenn der Beschwerdeführer bemängelt, dass auf das erwähnte Gutachten der MEDAS B.________ abgestellt werde, obwohl dieses drei Jahre älter sei als dasjenige der MEDAS C.________ vom 18. Juni 2013, übersieht er, dass gerade die Fach-ärzte der letztgenannten MEDAS eine wesentliche Veränderung des Gesundheitszustands gegenüber dem Zeitpunkt der früheren MEDAS-Begutachtung verneint haben. Der Beschwerdeführer selber hält denn auch letztinstanzlich zutreffend fest, dass der Expertise der MEDAS C.________ derselbe medizinische Sachverhalt zugrunde liege wie derjenigen der MEDAS B.________ . Inwiefern der Grundsatz des fair trial verletzt worden ist, indem ein und derselbe RAD-Arzt schon mehrmals in die medizinische Beurteilung des Versicherten miteinbezogen war, ist nicht ersichtlich und wird in der Beschwerde auch nicht näher begründet. Dasselbe gilt hinsichtlich des geltend gemachten leidensbedingten Abzugs vom Tabellenlohn von 25 %.</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