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9C_802/2016 vom 30. März 2017</w:t>
      </w:r>
    </w:p>
    <w:p>
      <w:r>
        <w:t>Bundesgericht, 2017-03-30, DE</w:t>
      </w:r>
    </w:p>
    <w:p>
      <w:r>
        <w:rPr>
          <w:b/>
        </w:rPr>
        <w:t xml:space="preserve">Quelle: </w:t>
      </w:r>
      <w:r>
        <w:t>https://mcp.opencaselaw.ch/entscheid/bger_9C_802_2016</w:t>
      </w:r>
    </w:p>
    <w:p>
      <w:r>
        <w:t>FR: TF 9C_802/2016 du 30 mars 2017</w:t>
      </w:r>
    </w:p>
    <w:p>
      <w:r>
        <w:t>IT: TF 9C_802/2016 del 30 marzo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der Beschwerdeführer für die Zeit ab dem 1. Februar 2015 Anspruch auf eine höhere als die ihm zugesprochene halbe Invalidenrente hat, wobei insbesondere die Höhe des Valideneinkommens (vgl. dazu nachfolgend E. 3) sowie die Nichtgewährung eines leidensbedingten Abzugs (vgl. nachfolgend E. 4) zu prüfen ist.</w:t>
      </w:r>
    </w:p>
    <w:p>
      <w:r>
        <w:rPr>
          <w:b/>
        </w:rPr>
        <w:t>E. 3.1</w:t>
      </w:r>
    </w:p>
    <w:p>
      <w:r>
        <w:t>Bei der Ermittlung des Valideneinkommens ist entscheidend, was der Versicherte im Zeitpunkt des frühestmöglichen Rentenbeginns nach dem Beweisgrad der überwiegenden Wahrscheinlichkeit als Gesunder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135 V 58 E. 3.1 S. 59; 134 V 322 E. 4.1 S. 325 f.; MEYER/REICHMUTH, Bundesgesetz über die Invalidenversicherung [IVG], 3. Aufl. 2014, Rz. 49 und 52 zu Art. 28a IVG ). Soweit es bei der Invaliditätsbemessung um die Frage geht, welche Löhne an einer bestimmten Stelle bezahlt werden oder erreicht werden können, handelt es sich um Feststellungen tatsächlicher Natur, die letztinstanzlicher Korrektur nur unter den Voraussetzungen von Art. 97 Abs. 1 BGG zugänglich sind (Urteil 9C_838/2016 vom 3. März 2017 E. 3.2 mit Hinweis).</w:t>
      </w:r>
    </w:p>
    <w:p>
      <w:r>
        <w:rPr>
          <w:b/>
        </w:rPr>
        <w:t>E. 3.2</w:t>
      </w:r>
    </w:p>
    <w:p>
      <w:r>
        <w:t>Die Vorinstanz verwies bezüglich Bemessung des Invaliditätsgrades sowie Festsetzung des Rentenanspruchs auf ihren Entscheid vom 21. Dezember 2015. Darin hatte sie erwogen, der Beschwerdeführer wäre im Gesundheitsfall unbestritten weiterhin als Stanzer bei der B.________ AG tätig. Gemäss deren Auskunft (Schreiben vom 27. Juli 2015) würde ein vergleichbarer Mitarbeiter heute ein Einkommen zwischen Fr. 78'000.- und Fr. 82'000.- erzielen. Die Vorinstanz war gestützt darauf zum Schluss gelangt, in Übereinstimmung mit der Verwaltung sei von einem hypothetischen Valideneinkommen von Fr. 80'000.- auszugehen. Dass das auf diese Weise ermittelte Valideneinkommen für das Jahr 2015 tiefer ausfalle als der Betrag, welcher aus einer Aufindexierung des von der SUVA für das Jahr 2008 festgelegten Valideneinkommens resultierte, erscheine unter Berücksichtigung der Finanzkrise in den Jahren 2008 und 2009 ohne Weiteres nachvollziehbar.</w:t>
      </w:r>
    </w:p>
    <w:p>
      <w:r>
        <w:rPr>
          <w:b/>
        </w:rPr>
        <w:t>E. 3.3</w:t>
      </w:r>
    </w:p>
    <w:p>
      <w:r>
        <w:t>Inwiefern diese für das Bundesgericht grundsätzlich verbindlichen (vgl. E. 3.1 hievor) Feststellungen bundesrechtswidrig - insbesondere willkürlich - sein sollen, ist weder ersichtlich noch in der Beschwerde substanziiert dargetan. Der Beschwerdeführer lässt vielmehr ausser Acht, dass die B.________ AG mit Schreiben vom 27. Juli 2015 explizit darauf hingewiesen hatte, im Rahmen der Finanzkrise in den Jahren 2008 und 2009 sei die wöchentliche Arbeitszeit von 40 auf 42.5 Stunden erhöht worden, ohne dass indessen die Löhne angepasst worden seien. In Anbetracht dessen verletzt es nicht Bundesrecht, dass die Vorinstanz dieser faktischen Lohnminderung dadurch Rechnung getragen hat, dass sie keine Aufindexierung des von der SUVA für das Jahr 2008 festgelegten Valideneinkommens auf das Jahr 2015 vorgenommen hat. Zudem ist nach der Rechtsprechung den konkreten Angaben ehemaliger Arbeitgeber über den hypothetischen Lohn zum Zeitpunkt des Rentenbeginns gegenüber der Aufindexierung früherer Löhne in der Regel der Vorzug zu geben (vgl. Urteil 8C_61/2012 vom 25. April 2012 E. 2.4 mit Hinweis).</w:t>
      </w:r>
    </w:p>
    <w:p>
      <w:r>
        <w:rPr>
          <w:b/>
        </w:rPr>
        <w:t>E. 4.1</w:t>
      </w:r>
    </w:p>
    <w:p>
      <w:r>
        <w:t>Ob nach Massgabe von BGE 126 V 75 überhaupt ein behinderungsbedingt oder anderweitig begründeter Abzug vom gestützt auf tabellarische Ansätze ermittelten Invalideneinkommen vorzunehmen ist, lässt sich als frei überprüfbare Rechtsfrage nur bejahen, wenn im Einzelfall Anhaltspunkte dafür bestehen, dass die versicherte Person wegen eines oder mehrerer Kriterien ihre gesundheitlich bedingte Restarbeitsfähigkeit auch auf dem ausgeglichenen Arbeitsmarkt nur mit unterdurchschnittlichem Erfolg erwerblich verwerten kann. Solche Anhaltspunkte bestehen beim Beschwerdeführer nicht. Darauf, dass gemäss der LSE 2012 bei Männern ohne Kaderfunktion in Bezug auf eine Teilzeitarbeit zwischen 50 und 74 % nicht von einem proportional unterdurchschnittlichen Einkommen auszugehen ist, hat die Vorinstanz in Erwägung 3.3 ihres Entscheids vom 21. Dezember 2015 bereits hingewiesen (vgl. dazu Urteil 8C_12/2017 vom 28. Februar 2017 E. 5.5.2 mit Hinweis). Den darüber hinaus in der Beschwerde aufgeführten Einschränkungen (Einschränkung auf leichte bis zeitweise mittelschwere Tätigkeiten, vermehrter Pausenbedarf, Vermeiden von ausschliesslich oder dominant repetitiven bimanuellen Tätigkeiten, keine aktive Teilnahme am Strassenverkehr, keine Tätigkeiten mit hohen Anforderungen an Aufmerksamkeit und Konzentration, Notwendigkeit eines verständnisvollen Arbeitsumfeldes) trägt bereits die Einschränkung der Arbeitsfähigkeit auf 50 % Rechnung. Ein nochmaliger Einbezug beim Tabellenlohn stellte eine unzulässige doppelte Berücksichtigung dar (vgl. Urteil 8C_678/2015 vom 9. Juni 2016 E. 5.6 mit Hinweis).</w:t>
      </w:r>
    </w:p>
    <w:p>
      <w:r>
        <w:rPr>
          <w:b/>
        </w:rPr>
        <w:t>E. 5</w:t>
      </w:r>
    </w:p>
    <w:p>
      <w:r>
        <w:t>Weil es somit betreffend die Invalidität beim Entscheid vom 21. Dezember 2015 bleibt, erübrigen sich Weiterungen zu den Einwänden, die IV-Stelle habe für die ergangenen Entscheide vom 21. Dezember 2015, vom 30. Juni 2016 sowie vom 21. Oktober 2016 die Gerichtskosten vollumfänglich zu tragen und Prozessentschädigungen in der Höhe von Fr. 3'002.40, Fr. 2'100.- und Fr. 1'400.- zu bezahlen. Der Beschwerdeführer hat jeweils nur teilweise - nämlich betreffend die Rentenberechnung - obsiegt, was im Verhältnis zum streitigen Hauptpunkt des Invaliditätsgrades von untergeordneter Bedeutung ist.</w:t>
      </w:r>
    </w:p>
    <w:p>
      <w:r>
        <w:rPr>
          <w:b/>
        </w:rPr>
        <w:t>E. 6</w:t>
      </w:r>
    </w:p>
    <w:p>
      <w:r>
        <w:t>Dem Ausgang des Verfahrens entsprechend hat der Beschwerdeführer grundsätzlich die Gerichtskosten zu tragen ( Art. 66 Abs. 1 Satz 1 BGG ). Seinem Gesuch um unentgeltliche Rechtspflege kann jedoch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