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9C_801/2012 vom 28. Oktober 2013</w:t>
      </w:r>
    </w:p>
    <w:p>
      <w:r>
        <w:t>Bundesgericht, 2013-10-28, FR</w:t>
      </w:r>
    </w:p>
    <w:p>
      <w:r>
        <w:rPr>
          <w:b/>
        </w:rPr>
        <w:t xml:space="preserve">Quelle: </w:t>
      </w:r>
      <w:r>
        <w:t>https://mcp.opencaselaw.ch/entscheid/bger_9C_801_2012</w:t>
      </w:r>
    </w:p>
    <w:p>
      <w:r>
        <w:t>FR: TF 9C_801/2012 du 28 octobre 2013</w:t>
      </w:r>
    </w:p>
    <w:p>
      <w:r>
        <w:t>IT: TF 9C_801/2012 del 28 ottobre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Avant toute chose, il convient d'observer que la juridiction cantonale a rendu un jugement de fond qui, de prime abord, compte tenu des termes employés ("</w:t>
      </w:r>
    </w:p>
    <w:p>
      <w:r>
        <w:t>Statuant d'accord entre les parties "), semble avoir pour objet la ratification d'une transaction ("</w:t>
      </w:r>
    </w:p>
    <w:p>
      <w:r>
        <w:t>Donne acte... ") qui aurait été passée par les parties et dont le dispositif reprendrait les termes de celle-ci afin de donner à la décision un caractère exécutoire ("</w:t>
      </w:r>
    </w:p>
    <w:p>
      <w:r>
        <w:t>L'y condamne en tant que besoin "). Sur le plan juridique, la transaction est un accord qui résulte de la volonté commune des parties. Or, si l'on procède à un examen plus attentif du dispositif du jugement attaqué et du déroulement de la procédure, il apparaît que les parties n'ont en aucune manière passé une transaction judiciaire. La juridiction cantonale a bien plutôt interprété les déclarations respectives faites par les parties au cours de la procédure pour en faire ressortir une volonté qu'elle voulait voir commune. Comme le démontre le dépôt du présent recours, l'interprétation de la juridiction cantonale s'est avérée inexacte. C'est par ailleurs le lieu de rappeler que le rôle du juge administratif consiste principalement à vérifier l'application du droit par les autorités administratives et à sanctionner toute violation de celui-ci. Sur le vu de ces considérations, il convient par conséquent d'interpréter le dispositif du jugement attaqué, en ce sens que l'office recourant a été condamné à allouer à l'intimé "</w:t>
      </w:r>
    </w:p>
    <w:p>
      <w:r>
        <w:t>une mesure de reclassement professionnel, soit une formation professionnelle initiale " et à "</w:t>
      </w:r>
    </w:p>
    <w:p>
      <w:r>
        <w:t>confier [le]</w:t>
      </w:r>
    </w:p>
    <w:p>
      <w:r>
        <w:t>dossier à un nouveau réadaptateur ".</w:t>
      </w:r>
    </w:p>
    <w:p>
      <w:r>
        <w:rPr>
          <w:b/>
        </w:rPr>
        <w:t>E. 3</w:t>
      </w:r>
    </w:p>
    <w:p>
      <w:r>
        <w:t>Dans un premier grief, l'office recourant s'en prend au bien-fondé du jugement attaqué en tant que celui-ci octroie à l'intimé une "</w:t>
      </w:r>
    </w:p>
    <w:p>
      <w:r>
        <w:t>mesure de reclassement professionnel, soit une formation professionnelle initiale " et l'enjoint de "</w:t>
      </w:r>
    </w:p>
    <w:p>
      <w:r>
        <w:t>confier [le]</w:t>
      </w:r>
    </w:p>
    <w:p>
      <w:r>
        <w:t>dossier à un nouveau réadaptateur ".</w:t>
      </w:r>
    </w:p>
    <w:p>
      <w:r>
        <w:rPr>
          <w:b/>
        </w:rPr>
        <w:t>E. 3.1</w:t>
      </w:r>
    </w:p>
    <w:p>
      <w:r>
        <w:t>Comme le relève à juste titre l'office recourant, une mesure de reclassement professionnel sous la forme d'une formation professionnelle initiale n'a pas de sens au regard de la systématique de la LAI. Il ne peut s'agir que d'une mesure de formation professionnelle initiale au sens de l' art. 16 LAI ou d'une mesure de reclassement au sens de l' art. 17 LAI . Ces deux mesures, qui doivent être clairement distinguées l'une de l'autre, ne sauraient être cumulées sous la forme d'une seule et même mesure. Eu égard aux conclusions communes prises sur ce point par les parties en procédure fédérale (octroi d'une mesure de reclassement professionnel), la question de savoir quelle était la mesure qu'entendait allouer la juridiction cantonale peut en l'espèce demeurer indécise.</w:t>
      </w:r>
    </w:p>
    <w:p>
      <w:r>
        <w:rPr>
          <w:b/>
        </w:rPr>
        <w:t>E. 3.2</w:t>
      </w:r>
    </w:p>
    <w:p>
      <w:r>
        <w:t>Quant au prétendu engagement de l'office recourant de confier le dossier à un nouveau réadaptateur, il convient de constater qu'il est dénué de portée juridique matérielle. En effet, la juridiction cantonale s'est fondée sur les déclarations faites au cours d'une audience de comparution personnelle par le témoin S.________, témoin qui n'était pas habilité à représenter et à engager l'office AI dans la procédure. Au demeurant, on peut se demander si une telle question revêt un caractère justiciable et faire l'objet d'une conclusion spécifique.</w:t>
      </w:r>
    </w:p>
    <w:p>
      <w:r>
        <w:rPr>
          <w:b/>
        </w:rPr>
        <w:t>E. 3.3</w:t>
      </w:r>
    </w:p>
    <w:p>
      <w:r>
        <w:t>Sur le vu de ce qui précède, il y a lieu de réformer le jugement attaqué, en ce sens que l'intimé a droit à une mesure de reclassement professionnel. Le chiffre 1 du dispositif du jugement attaqué sera donc modifié en conséquence et le chiffre 2 du dispositif annulé.</w:t>
      </w:r>
    </w:p>
    <w:p>
      <w:r>
        <w:rPr>
          <w:b/>
        </w:rPr>
        <w:t>E. 4</w:t>
      </w:r>
    </w:p>
    <w:p>
      <w:r>
        <w:t>L'office recourant conteste le droit de la juridiction cantonale, fondé sur le consid. 4.4.2 de l' ATF 137 V 210 , de mettre à la charge des organes de l'assurance-invalidité les frais d'une expertise judiciaire qui n'aurait pas été confiée à un Centre d'observation médicale de l'assurance-invalidité (COMAI).</w:t>
      </w:r>
    </w:p>
    <w:p>
      <w:r>
        <w:rPr>
          <w:b/>
        </w:rPr>
        <w:t>E. 4.1</w:t>
      </w:r>
    </w:p>
    <w:p>
      <w:r>
        <w:t>Afin d'assurer une procédure administrative et de recours équitable, l' ATF 137 V 210 a dégagé à son considérant 3 un certain nombre de principes (droits de participation; droit à une décision incidente sujette à recours; droit à la mise en oeuvre d'une expertise judiciaire) et de recommandations ayant pour but de définir un standard uniforme en matière de mise en oeuvre d'une expertise médicale pluridisciplinaire auprès d'un COMAI. A l'invitation du Tribunal fédéral, l'OFAS a également mis en place à la suite de cet arrêt une plate-forme (SuisseMED@P) destinée aux offices AI pour l'attribution sur une base aléatoire des mandats d'expertise médicale pluridisciplinaire ( art. 72bis RAI ). La jurisprudence a précisé par la suite que ces principes et recommandations, à l'exception de l'attribution du mandat sur une base aléatoire, étaient également applicables par analogie aux expertises mono- et bidisciplinaires ( ATF 139 V 349 consid. 5.4 p. 357) et s'appliquaient aux autres branches des assurances sociales concernées par cette problématique (voir ATF 138 V 318 consid. 6.1 p. 321).</w:t>
      </w:r>
    </w:p>
    <w:p>
      <w:r>
        <w:rPr>
          <w:b/>
        </w:rPr>
        <w:t>E. 4.2</w:t>
      </w:r>
    </w:p>
    <w:p>
      <w:r>
        <w:t>Sous réserve des exigences définies à l'art. 61 let. a à i LPGA, la procédure devant le tribunal cantonal des assurances (respectivement le Tribunal administratif fédéral) est régie par le droit cantonal et les principes généraux de procédure. Conformément à l' art. 61 let. a LPGA , la procédure doit être gratuite pour les parties; des émoluments de justice et les frais de procédure peuvent toutefois être mis à la charge de la partie qui agit de manière téméraire ou témoigne de légèreté. L' art. 69 al. 1bis LAI (en vigueur depuis le 1</w:t>
      </w:r>
    </w:p>
    <w:p>
      <w:r>
        <w:t>er juillet 2006) déroge à ce principe général dans la mesure où la procédure de recours en matière de contestations portant sur l'octroi ou le refus de prestations de l'assurance-invalidité devant le tribunal cantonal des assurances est soumise à des frais de justice. Le montant des frais doit alors être fixé en fonction de la charge liée à la procédure, indépendamment de la valeur litigieuse, et se situer entre 200 et 1'000 fr. Les frais de justice ne peuvent être ni inférieurs ni supérieurs à ces montants, les cantons demeurant cependant libres de renoncer totalement ou partiellement à la perception de ces frais, pour autant que le droit cantonal le prévoie ( ATF 138 V 122 consid. 1 p. 123).</w:t>
      </w:r>
    </w:p>
    <w:p>
      <w:r>
        <w:rPr>
          <w:b/>
        </w:rPr>
        <w:t>E. 4.3</w:t>
      </w:r>
    </w:p>
    <w:p>
      <w:r>
        <w:t>Au consid. 4.4.2 de l' ATF 137 V 210 , le Tribunal fédéral a indiqué que les frais qui découlaient de la mise en oeuvre d'une expertise judiciaire pluridisciplinaire confiée à un COMAI pouvaient le cas échéant être mis à la charge de l'assurance-invalidité. En effet, lorsque l'autorité judiciaire de première instance décidait de confier la réalisation d'une expertise judiciaire pluridisciplinaire à un COMAI parce qu'elle estimait que l'instruction menée par l'autorité administrative était insuffisante (au sens du consid. 4.4.1.4 de l' ATF 137 V 210 ), elle intervenait dans les faits en lieu et place de l'autorité administrative, qui aurait dû, en principe, mettre en oeuvre cette mesure d'instruction dans le cadre de la procédure administrative. Dans ces conditions, les frais de l'expertise ne constituaient pas des frais de justice au sens de l' art. 69 al. 1bis LAI , mais des frais relatifs à la procédure administrative au sens de l' art. 45 LPGA qui devaient être pris en charge par l'assurance-invalidité.</w:t>
      </w:r>
    </w:p>
    <w:p>
      <w:r>
        <w:rPr>
          <w:b/>
        </w:rPr>
        <w:t>E. 4.4</w:t>
      </w:r>
    </w:p>
    <w:p>
      <w:r>
        <w:t>Cette règle, qu'il convient également d'appliquer, dans son principe, aux expertises judiciaires mono- et bidisciplinaires (cf.</w:t>
      </w:r>
    </w:p>
    <w:p>
      <w:r>
        <w:t>supra consid. 4.1),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p. 265). Tel sera notamment le cas lorsque l'autorité administrative aura laissé subsister, sans la lever par des explications objectivement fondées, une contradiction manifeste entre les différents points de vue médicaux rapportés au dossier ( ATF 135 V 465 consid. 4.4 p. 469; voir également ATF 139 V 225 consid. 4 p. 226 et arrêt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 ATF 125 V 351 consid. 3a p. 352).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w:t>
      </w:r>
    </w:p>
    <w:p>
      <w:r>
        <w:rPr>
          <w:b/>
        </w:rPr>
        <w:t>E. 4.5.1</w:t>
      </w:r>
    </w:p>
    <w:p>
      <w:r>
        <w:t>En l'occurrence, la juridiction cantonale a, dans son ordonnance d'expertise du 7 novembre 2011, constaté que le recourant avait fait l'objet d'un examen clinique rhumato-psychiatrique effectué le 8 mars 2006 par le SMR et que son état de santé s'était aggravé depuis lors, puisqu'il avait été établi qu'il souffrait depuis 2010 de douleurs cervicales qui avaient été objectivées par un scanner réalisé le 15 mars 2010; elle a donc considéré l'examen de 2006 comme étant dépassé et jugé nécessaire de le réactualiser.</w:t>
      </w:r>
    </w:p>
    <w:p>
      <w:r>
        <w:rPr>
          <w:b/>
        </w:rPr>
        <w:t>E. 4.5.2</w:t>
      </w:r>
    </w:p>
    <w:p>
      <w:r>
        <w:t>Il ressort du dossier administratif que le SMR a interpellé le docteur M.________ afin que celui-ci lui fournisse des informations complémentaires sur l'état de santé de son patient. Dans un courrier adressé le 30 septembre 2010 à l'office recourant, ce médecin a indiqué qu'il n'avait pas revu son patient depuis le 9 juin 2010 et que celui-ci avait sollicité un rendez-vous auprès du Centre de la douleur de l'Hôpital X.________. D'après une note téléphonique établie le 12 octobre 2010, l'intimé ne s'était finalement pas adressé au Centre de la douleur, mais avait suivi un traitement de physiothérapie qui avait pris fin deux semaines auparavant; il présentait encore occasionnellement des douleurs à la nuque en fonction des sollicitations de celle-ci. Sur la base de ces éléments, le SMR a estimé ne pas disposer d'éléments suffisants permettant de remettre en cause les conclusions de l'examen réalisé en 2006, sous réserve de l'apparition de quelques limitations fonctionnelles rachidiennes supplémentaires (avis médical du 15 novembre 2010).</w:t>
      </w:r>
    </w:p>
    <w:p>
      <w:r>
        <w:rPr>
          <w:b/>
        </w:rPr>
        <w:t>E. 4.5.3</w:t>
      </w:r>
    </w:p>
    <w:p>
      <w:r>
        <w:t>Sur le vu de ce qui précède, il apparaît qu'après avoir eu connaissance de l'apparition de troubles lombaires chez l'intimé, l'office recourant a, avant de rendre sa décision, interpellé le médecin traitant et procédé à diverses vérifications. On ne saurait considérer dans ces conditions que l'office recourant a fait preuve de manquements dans le cadre de son instruction, singulièrement qu'il a laissé ouverte une question nécessaire à l'appréciation de la situation médicale. La mise à la charge de l'office recourant de l'entier des frais de l'expertise ordonnée par la juridiction cantonale n'était par conséquent pas justifiée.</w:t>
      </w:r>
    </w:p>
    <w:p>
      <w:r>
        <w:rPr>
          <w:b/>
        </w:rPr>
        <w:t>E. 4.6</w:t>
      </w:r>
    </w:p>
    <w:p>
      <w:r>
        <w:t>Cela étant, dans la mesure où les frais d'expertise judiciaire font partie des frais de justice au sens de l' art. 69 al. 1bis LAI (arrêt 9C_13/2012 du 20 août 2012 consid. 3, in SVR 2013 IV n° 1 p. 1) et que la juridiction cantonale n'a pas épuisé le cadre défini par cette disposition (cf.</w:t>
      </w:r>
    </w:p>
    <w:p>
      <w:r>
        <w:t>supra consid. 4.2), il convient de renvoyer le dossier à la juridiction cantonale pour nouvelle détermination des frais de la procédure cantonale.</w:t>
      </w:r>
    </w:p>
    <w:p>
      <w:r>
        <w:rPr>
          <w:b/>
        </w:rPr>
        <w:t>E. 5</w:t>
      </w:r>
    </w:p>
    <w:p>
      <w:r>
        <w:t>Dans un dernier grief, l'office recourant reproche à la juridiction cantonale de ne pas avoir motivé, ne serait-ce que brièvement, le montant qu'elle a alloué à l'intimé à titre de dépens, ce qui ne lui permettrait pas de se déterminer sur sa légitimité au regard du droit applicable.</w:t>
      </w:r>
    </w:p>
    <w:p>
      <w:r>
        <w:rPr>
          <w:b/>
        </w:rPr>
        <w:t>E. 5.1</w:t>
      </w:r>
    </w:p>
    <w:p>
      <w:r>
        <w:t>La jurisprudence a déduit du droit d'être entendu, tel qu'il est garanti par l' art. 29 Cst. , celui d'obtenir une décision motivée. Le destinataire de la décision et toute personne intéressée doit pouvoir la comprendre et l'attaquer utilement en connaissance de cause s'il y a lieu, et l'instance de recours doit pouvoir exercer pleinement son contrôle si elle est saisie ( ATF 129 I 232 consid. 3.2 p. 236; 126 I 15 consid. 2a/aa p. 16). Le juge n'est toutefois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Le Tribunal fédéral ne motive d'ailleurs pas, en principe, les décisions en matière de dépens pour les causes qui sont portées devant lui ( ATF 111 Ia 1 ; voir également arrêt I 308/98 du 28 juillet 1999 consid. 3, in SVR 2000 IV n° 11 p. 31).</w:t>
      </w:r>
    </w:p>
    <w:p>
      <w:r>
        <w:rPr>
          <w:b/>
        </w:rPr>
        <w:t>E. 5.2</w:t>
      </w:r>
    </w:p>
    <w:p>
      <w:r>
        <w:t>En l'occurrence, la juridiction cantonale s'est contentée d'appliquer la règle générale, selon laquelle il n'y a pas lieu, en principe, de motiver la décision en matière de dépens. Le grief développé par l'office recourant serait admissible si la juridiction cantonale s'était écartée d'un tarif ou d'une règle légale cantonale fixant des minima et des maxima. Or, ce n'est manifestement pas le cas en l'espèce. D'après l'art. 6 du règlement genevois du 30 juillet 1986 sur les frais, émoluments et indemnités en procédure administrative (RFPA; RSG E 5 10.03), la juridiction peut allouer à une partie pour les frais indispensables occasionnés par la procédure, y compris les honoraires éventuels d'un mandataire, une indemnité de 200 à 10'000 fr. Dans la mesure où le montant alloué à l'intimé se situe dans la fourchette prévue par le droit cantonal, la juridiction cantonale n'était pas tenue de motiver sa décision et n'a, partant, pas violé le droit d'être entendu de l'office recourant.</w:t>
      </w:r>
    </w:p>
    <w:p>
      <w:r>
        <w:rPr>
          <w:b/>
        </w:rPr>
        <w:t>E. 6.1</w:t>
      </w:r>
    </w:p>
    <w:p>
      <w:r>
        <w:t>Sur le vu de ce qui précède, le recours doit être partiellement admis. Il convient de mettre une partie des frais judiciaires à la charge de l'office recourant ( art. 66 al. 1 LTF ) et, compte tenu des consid. 2 et 3 du présent arrêt, l'autre partie des frais à la charge de la République et canton de Genève ( art. 66 al. 3 LTF ; ATF 133 V 402 consid. 5 p. 407 et les références). L'intimé a droit à une indemnité de dépens réduite pour l'instance fédérale à la charge de l'office recourant et de la République et canton de Genève ( art. 68 al. 1 LTF ).</w:t>
      </w:r>
    </w:p>
    <w:p>
      <w:r>
        <w:rPr>
          <w:b/>
        </w:rPr>
        <w:t>E. 6.2</w:t>
      </w:r>
    </w:p>
    <w:p>
      <w:r>
        <w:t>L'intimé a par ailleurs sollicité le bénéfice de l'assistance judiciaire pour l'instance fédérale. Les conditions d'octroi de l'assistance judiciaire gratuite étant réalisées ( art. 64 al. 1 et 2 LTF ), celle-ci lui est accordée, de sorte que les honoraires de son avocat seront partiellement pris en charge par la caisse du Tribunal fédéral. L'attention de l'intimé est attirée sur le fait qu'il devra rembourser la caisse du Tribunal fédéral s'il devient en mesure de le faire ultérieurement ( art. 64 al. 4 LTF ).</w:t>
      </w:r>
    </w:p>
    <w:p>
      <w:r>
        <w:rPr>
          <w:b/>
        </w:rPr>
        <w:t>E. 6.3</w:t>
      </w:r>
    </w:p>
    <w:p>
      <w:r>
        <w:t>Le présent arrêt rend sans objet la requête d'effet suspensif déposée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