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799/2014 vom 20. Februar 2015</w:t>
      </w:r>
    </w:p>
    <w:p>
      <w:r>
        <w:t>Bundesgericht, 2015-02-20, DE</w:t>
      </w:r>
    </w:p>
    <w:p>
      <w:r>
        <w:rPr>
          <w:b/>
        </w:rPr>
        <w:t xml:space="preserve">Quelle: </w:t>
      </w:r>
      <w:r>
        <w:t>https://mcp.opencaselaw.ch/entscheid/bger_9C_799_2014</w:t>
      </w:r>
    </w:p>
    <w:p>
      <w:r>
        <w:t>FR: TF 9C 799/2014 du 20 février 2015</w:t>
      </w:r>
    </w:p>
    <w:p>
      <w:r>
        <w:t>IT: TF 9C 799/2014 del 20 febbraio 2015</w:t>
      </w:r>
    </w:p>
    <w:p>
      <w:pPr>
        <w:pStyle w:val="Heading2"/>
      </w:pPr>
      <w:r>
        <w:t>Regeste</w:t>
      </w:r>
    </w:p>
    <w:p>
      <w:r>
        <w:t>Invalidenversicherung | Invalidenversicherung</w:t>
      </w:r>
    </w:p>
    <w:p>
      <w:pPr>
        <w:pStyle w:val="Heading2"/>
      </w:pPr>
      <w:r>
        <w:t>Erwägungen</w:t>
      </w:r>
    </w:p>
    <w:p>
      <w:r>
        <w:rPr>
          <w:b/>
        </w:rPr>
        <w:t>E. 1</w:t>
      </w:r>
    </w:p>
    <w:p>
      <w:r>
        <w:t>Das wiedergegebene Rechtsbegehren Ziff. 3 ist insoweit neu und daher unzulässig ( Art. 99 Abs. 2 BGG ), als es in der Bedeutung eines selbstständigen Beschwerdeantrages gestellt wird. Denn im vorinstanzlichen Verfahren hatte der Beschwerdeführer (vgl. seine Eingabe vom 8. August 2014) lediglich beantragt, die ihm von Prof. Dr. med. C.________ in Rechnung gestellten Bemühungen für das Privatgutachten vom 6. Mai 2014 und die Stellungnahme vom 30. Juli 2014 für den Fall des Obsiegens im Prozess - somit als Bestandteil der diesfalls geschuldeten Parteientschädigung - vergütet zu erhalten.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Streitig und zu prüfen ist, ob im Zeitraum vom 15./18. November 2011 (Zusprechung der ganzen Invalidenrente mit Wirkung ab 1. November 2011) bis zur angefochtenen Revisionsverfügung vom 6. März 2014 Tatsachenänderungen eingetreten sind, welche die verfügte und vorinstanzlich bestätigte Rentenaufhebung rechtfertigen ( Art. 17 Abs. 1 ATSG ).</w:t>
      </w:r>
    </w:p>
    <w:p>
      <w:r>
        <w:rPr>
          <w:b/>
        </w:rPr>
        <w:t>E. 3.1</w:t>
      </w:r>
    </w:p>
    <w:p>
      <w:r>
        <w:t>Umstritten sind im Rahmen dieses revisionsrechtlichen Prozessthemas einzig die onkologischen Aspekte. Während das kantonale Gericht das Fortdauern einer Cancer-related Fatigue im Revisionszeitpunkt verneint und die Arbeitsunfähigkeit daher nicht im Lichte von BGE 139 V 346 geprüft hat, beruft sich der Beschwerdeführer auf den Privatgutachter Prof. Dr. med. C.________, wonach er an einer tumorassoziierten körperlichen und mentalen Fatigue leide, welche die Aktivität erheblich reduziere und wahrscheinlich deutliche kognitive Störungen nach sich ziehe, welch letzte durch ergänzende neuropsychologische Testung vertieft abzuklären gewesen wären. Diese Kontroverse betrifft ausschliesslich Tatfragen, deren Beantwortung durch das kantonale Gericht verbindlich bleibt ( Art. 105 Abs. 1 BGG ), sofern nicht eine qualifiziert unrichtige Tatsachenfeststellung (oben E. 2) vorliegt.</w:t>
      </w:r>
    </w:p>
    <w:p>
      <w:r>
        <w:rPr>
          <w:b/>
        </w:rPr>
        <w:t>E. 3.2</w:t>
      </w:r>
    </w:p>
    <w:p>
      <w:r>
        <w:t>Der Beschwerdeführer wirft dem kantonalen Gericht vor, dass es sich "inhaltlich überhaupt nicht mit dem wissenschaftlichen, medizinisch begründeten Privatgutachten von Prof. Dr. med. M.E. C.________ vom 6. Mai 2014 und seiner ergänzenden Stellungnahme vom 30. Juli 2014 auseinandergesetzt und diese dem Gutachten der MEDAS vom 23. Dezember 2013, inklusive den Ergänzungen vom 3./16. Juli 2014, kritisch gegenübergestellt" habe. Der onkologische Teilgutachter der MEDAS habe sich lediglich auf den "subjektiven Eindruck" und seine "Erfahrung" gestützt, währenddessen der Privatgutachter "mit wissenschaftlich validierten Methoden abgeklärt" habe, ob er unter einer Cancer-related Fatigue leide oder nicht.</w:t>
      </w:r>
    </w:p>
    <w:p>
      <w:r>
        <w:rPr>
          <w:b/>
        </w:rPr>
        <w:t>E. 3.3</w:t>
      </w:r>
    </w:p>
    <w:p>
      <w:r>
        <w:t>Diese und die weiteren sich zum Teil überschneidenden und wiederholenden Vorbringen in der Beschwerde vermögen keine offensichtlich unrichtige oder sonst rechtsfehlerhafte Tatsachenfeststellung durch das kantonale Gericht darzutun.</w:t>
      </w:r>
    </w:p>
    <w:p>
      <w:r>
        <w:rPr>
          <w:b/>
        </w:rPr>
        <w:t>E. 3.3.1</w:t>
      </w:r>
    </w:p>
    <w:p>
      <w:r>
        <w:t>Zunächst befasst sich der angefochtene Entscheid durchaus im Rahmen einer pflichtgemässen und sorgfältigen freien Beweiswürdigung mit den abweichenden medizinischen Beurteilungen der MEDAS (bzw. deren Onkologen Dr. med. D.________) einerseits, des Privatgutachters Prof. Dr. med. C.________ andererseits. Das kantonale Gericht führt auch im Einzelnen die Gründe an, warum es der einen und nicht der anderen medizinischen These gefolgt ist (E. 4.3, S. 10-14 des vorinstanzlichen Entscheides). Was hiegegen vorgebracht wird, ist im Kern appellatorische Kritik, die im Rahmen der gesetzlichen Kognition des Bundesgerichts (E. 2) nicht genügt. Entgegen der in der Beschwerde vertretenen Auffassung beruhen medizinische Beurteilungen immer auf medizinischer Erfahrung des sachverständigen Arztes, gewonnen mit Vorteil aus langjähriger klinischer Prüfung betroffener Patienten. Im Falle einer Cancer-related Fatigue verhält es sich nicht anders. Es gibt ferner keine Korrelation zwischen gestellter Diagnose und Arbeitsunfähigkeit ( BGE 140 V 193 E. 3.1 in fine S. 195).</w:t>
      </w:r>
    </w:p>
    <w:p>
      <w:r>
        <w:rPr>
          <w:b/>
        </w:rPr>
        <w:t>E. 3.3.2</w:t>
      </w:r>
    </w:p>
    <w:p>
      <w:r>
        <w:t>Die Beschwerde übersieht auch den Umstand, dass der Versicherte, der zweimal an einem Hodgkin-Lymphom erkrankte (1996 und 2011, wobei es beide Male zu einer vollständigen Remission kam), ausweislich der Akten im Anschluss an den ersten Krankheitsfall (1996) nicht an einer Cancer-related Fatigue litt, sondern an einem Chronic fatigue Syndrom (Bericht des Dr. med. E.________ vom 17. März 2003). Dies allein zeigt, dass es sich bei solchen Zuständen und Entwicklungen nach durchgemachten Krankheiten um interpretationsbedürftige Befunde und Symptomatiken handelt, deren unterschiedliche Erfassung und Bewertung durch medizinische Sachverständige - bis zu einem gewissen Grade mindestens - in der Natur der Sache liegt. Nehmen - wie hier - zwei ausgewiesene Fachärzte ihren erheblichen Beurteilungsspielraum in je überzeugender Weise wahr, verletzt das kantonale Gericht nicht Bundesrecht, wenn es sich beweiswürdigend, unter Angabe der materiellen (inhaltlichen) Gründe, der einen Auffassung anschliesst, ausser wenn von einem dritten oder Obergutachten zusätzliche Erkenntnisse zu erwarten wären, was hier jedoch nicht zur Diskussion steht. Formelle Aspekte wie die Frage, wer wann welchen Facharzttitel zuerst erworben hat u.a.m., sind demgegenüber nicht entscheidend.</w:t>
      </w:r>
    </w:p>
    <w:p>
      <w:r>
        <w:rPr>
          <w:b/>
        </w:rPr>
        <w:t>E. 3.3.3</w:t>
      </w:r>
    </w:p>
    <w:p>
      <w:r>
        <w:t>Dass beim Beschwerdeführer während der Akutbehandlung nach dem zweiten Krankheitsausbruch (2011) wahrscheinlich eine Cancer-related Fatigue bestand, räumen auch die MEDAS-Gutachter ein. Hingegen ergeben sich aus den Angaben des Privatgutachters keine zwingenden Hinweise, welche den Schluss des kantonalen Gerichts, beim Beschwerdeführer dauere aus den von den MEDAS-Gutachtern dargelegten Gründen nach Abschluss der erfolgreichen Behandlung keine erheblich limitierende Cancer-related Fatigue fort, als offensichtlich unrichtig oder unhaltbar, geschweige denn willkürlich (E. 2), erscheinen liessen.</w:t>
      </w:r>
    </w:p>
    <w:p>
      <w:r>
        <w:rPr>
          <w:b/>
        </w:rPr>
        <w:t>E. 4</w:t>
      </w:r>
    </w:p>
    <w:p>
      <w:r>
        <w:t>Hat das kantonale Gericht somit den Eintritt einer rentenausschliessenden Arbeitsfähigkeit im massgeblichen Vergleichszeitraum bundesrechtskonform festgestellt, erübrigen sich, da die weiteren Schritte der Invaliditätsbemessung nicht angefochten werden, zusätzliche Ausführungen.</w:t>
      </w:r>
    </w:p>
    <w:p>
      <w:r>
        <w:rPr>
          <w:b/>
        </w:rPr>
        <w:t>E. 5</w:t>
      </w:r>
    </w:p>
    <w:p>
      <w:r>
        <w:t>Entsprechend dem Verfahrensausgang trägt der Beschwerdeführer als unterliegende Partei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