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798/2012 vom 22. Februar 2013</w:t>
      </w:r>
    </w:p>
    <w:p>
      <w:r>
        <w:t>Bundesgericht, 2013-02-22, DE</w:t>
      </w:r>
    </w:p>
    <w:p>
      <w:r>
        <w:rPr>
          <w:b/>
        </w:rPr>
        <w:t xml:space="preserve">Quelle: </w:t>
      </w:r>
      <w:r>
        <w:t>https://mcp.opencaselaw.ch/entscheid/bger_9C_798_2012</w:t>
      </w:r>
    </w:p>
    <w:p>
      <w:r>
        <w:t>FR: TF 9C 798/2012 du 22 février 2013</w:t>
      </w:r>
    </w:p>
    <w:p>
      <w:r>
        <w:t>IT: TF 9C 798/2012 del 22 febbraio 2013</w:t>
      </w:r>
    </w:p>
    <w:p>
      <w:pPr>
        <w:pStyle w:val="Heading2"/>
      </w:pPr>
      <w:r>
        <w:t>Regeste</w:t>
      </w:r>
    </w:p>
    <w:p>
      <w:r>
        <w:t>Invalidenversicherung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ist die revisionsweise Aufhebung der Invalidenrente. Das kantonale Gericht hat die gesetzlichen Bestimmungen und die von der Rechtsprechung entwickelten Grundsätze, namentlich über die Begriffe der Invalidität ( Art. 8 Abs. 1 ATSG , Art. 4 Abs. 1 IVG ), Arbeitsunfähigkeit ( Art. 6 ATSG ) und Erwerbsfähigkeit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die Rentenrevision ( Art. 17 Abs. 1 ATSG ) sowie zum Beweiswert und zur Beweiswürdigung ärztlicher Berichte und Gutachten ( BGE 125 V 351 E. 3a S. 352 mit Hinweis) richtig dargelegt. Darauf wird verwiesen.</w:t>
      </w:r>
    </w:p>
    <w:p>
      <w:r>
        <w:rPr>
          <w:b/>
        </w:rPr>
        <w:t>E. 3.1</w:t>
      </w:r>
    </w:p>
    <w:p>
      <w:r>
        <w:t>Die Vorinstanz hat die Voraussetzungen für eine Rentenrevision nach Art. 17 Abs. 1 ATSG bejaht. Sie hat erwogen, im massgebenden Vergleichszeitraum zwischen der rentenzusprechenden Verfügung vom 22./25. Oktober 2004 und der angefochtenen Verfügung vom 8. Dezember 2010 sei eine Verbesserung der gesundheitlichen Situation sowie der Arbeits- und Leistungsfähigkeit eingetreten. Das Gutachten des Institut Z.________ vom 26. April 2010 vermöge zu überzeugen und erfülle die gestellten Anforderungen. Bei nunmehrigem Fehlen einer krankheitswertigen psychischen Störung sei nicht zu beanstanden, dass die Gutachter auf eine Verbesserung des Gesundheitszustandes und der Arbeitsfähigkeit geschlossen hätten. Der von der Beschwerdeführerin eingelegte Bericht der Klinik für Psychiatrie und Psychotherapie des Spitals A.________ vom 6. Januar 2011 biete zu keiner anderen Beurteilung Anlass. So ergebe sich, dass die Versicherte aufgrund einer wesentlichen Verbesserung des Gesundheitszustandes seit Februar 2010 für die angestammte sowie für jede andere leichte bis mittelschwere wechselbelastende adaptierte Tätigkeit ohne Einschränkung arbeitsfähig sei.</w:t>
      </w:r>
    </w:p>
    <w:p>
      <w:r>
        <w:rPr>
          <w:b/>
        </w:rPr>
        <w:t>E. 3.2</w:t>
      </w:r>
    </w:p>
    <w:p>
      <w:r>
        <w:t>Die Beschwerdeführerin rügt, die Vorinstanz habe mit der Feststellung, es könne auf das Gutachten des Institut Z.________ abgestellt werden, die Abklärungspflicht und den Anspruch auf ein faires Verfahren verletzt. Im erwähnten Gutachten seien Angaben der Beschwerdeführerin zur Tagesstruktur wiedergegeben worden, aus denen hervorgehe, dass ein sozialer Rückzug erfolgt sei. Dies sei als Zeichen für das Vorliegen einer Depression zu werten. Das Gutachten des Institut Z.________ habe sich mit dem Phänomen überhaupt nicht befasst, was ein offensichtlicher Mangel sei und dazu führen müsse, dass es nicht verwertet werden dürfe. Die Vorinstanz habe sich mit dem entsprechenden Einwand nicht auseinandergesetzt und sei mit keinem Wort darauf eingegangen. Dies gelte auch hinsichtlich des Vorwurfs, die Gutachter hätten in diesem Punkt keine Fremdanamnese erhoben. Im Effekt liege so eine Verweigerung des rechtlichen Gehörs vor.</w:t>
      </w:r>
    </w:p>
    <w:p>
      <w:r>
        <w:rPr>
          <w:b/>
        </w:rPr>
        <w:t>E. 3.3</w:t>
      </w:r>
    </w:p>
    <w:p>
      <w:r>
        <w:t>Der Einwand ist nicht schlüssig, denn ein sozialer Rückzug ist im Gutachten nicht dargestellt. Hingegen bestehen ausgiebige Beziehungen und Kontakte zur Familie in Kosovo, wo sich die Beschwerdeführerin geborgen und aufgehoben fühlt. Zu den in der schweizerischen Nachbarschaft wohnenden Schwiegereltern besteht ein enges Verhältnis. Da die Beschwerdeführerin der deutschen Sprache kaum mächtig ist, ist sie aber nach gutachterlicher Einschätzung in der Schweiz schlecht integriert. Zur sozialen Interaktion ist dargelegt, die Explorandin mache kaum Ausführungen zur Situation und präzisiere auf Nachfrage wenig, die Mitteilungsfähigkeit sei aber nicht eingeschränkt. Auch Aufmerksamkeit, Auffassung, Wahrnehmung und Konzentration seien während der gesamten Untersuchung nicht eingeengt. Affektiv sei sie moros [mürrisch] und dysphorisch [gereizt] ausgelenkt. Sonst fänden sich aber keine Psychopathologien. Auf zwischenzeitliche Ansprache könne sie lächeln und durchaus heiter wirken. Eine depressive Affektauslenkung sei nicht gegeben.</w:t>
      </w:r>
    </w:p>
    <w:p>
      <w:r>
        <w:rPr>
          <w:b/>
        </w:rPr>
        <w:t>E. 3.5</w:t>
      </w:r>
    </w:p>
    <w:p>
      <w:r>
        <w:t>Das Gutachten des Institut Z.________ ist überzeugend und nachvollziehbar und erfüllt die gestellten Anforderungen (vgl. BGE 125 V 351 E. 3a S. 352). Die Einschätzung, die Beschwerdeführerin sei seit Februar 2010 für die angestammte sowie für jede andere leichte bis mittelschwere wechselbelastende adaptierte Tätigkeit ohne Einschränkung arbeitsfähig, steht zudem im Einklang mit früheren Einschätzungen und Prognosen. So war schon im Bericht der Rehaklinik Bellikon vom 19. November 2002 angegeben, es sei zu erwarten, dass aus orthopädischer Sicht die bestehende Arbeitsfähigkeit von 50 % gesteigert werden könne. Dort war noch eine Atrophie der Oberschenkelmuskulatur rechts diagnostiziert (Oberschenkelumfang links 42 cm, rechts 38 cm). Die gleiche Differenz von vier Zentimetern war im März 2004 in der Klinik S.________ gemessen worden (Gutachten vom 2. April 2004). Laut Angabe des Institut Z.________ wurde am 15. Februar 2010 in der rheumatologischen Untersuchung ein Oberschenkelumfang rechts 40 cm und links 40,5 cm gemessen. Der Zustand der Oberschenkelmuskulatur war somit wieder ausgeglichen, was auf eine Genesung in diesem Bereich hindeutet. Im damaligen Gutachten der S.________ war zudem in psychischer Hinsicht eine mittelgradige depressive Episode und damit eine Situation diagnostiziert worden, die durchaus ein Verbesserungspotenzial aufweise. Zudem waren bei der Untersuchung des Institut Z.________ Inkonsistenzen festzustellen, die auf eine Verbesserung des Gesundheitszustandes schliessen lassen. So war bei der Blutserumspiegeluntersuchung kein Paracetamol nachweisbar, obwohl die Versicherte angab, das Schmerzmittel Dafalgan täglich einzunehmen. Auch Antidepressiva waren nur deutlich subtherapeutisch nachweisbar. Inkonsistenzen ergaben sich ebenfalls bei den klinischen Befunden. Was die Beschwerdeführerin gegen die Verwertung des Gutachtens des Institut Z.________ einwenden liess, hat das kantonale Gericht hinreichend geprüft und zu Recht verworfen. Zum Vorhalt, das Gericht habe auf den Bericht der Klinik für Psychiatrie und Psychotherapie des Spitals A.________ vom 6. Januar 2011 zu Unrecht nicht abgestellt, bleibt festzuhalten, dass dieser Bericht über die Arbeitsfähigkeit nichts aussagt und daher nicht verwertbar ist. Wenn letztinstanzlich wiederum geltend gemacht wird, der Bericht sei gerade deshalb zu berücksichtigen, weil er zeitnaher zu der am 8. Dezember 2010 erlassenen Verfügung erstellt worden ist als das Gutachten, wird verkannt, dass er auf einem unmittelbar nach der Eröffnung des Rentenaushebungsentscheides geführten Gespräch beruht und daher sein Beweiswert aus diesem Grund zu relativieren wäre. Die in diesem Zusammenhang erhobenen Vorwürfe der Verletzung des rechtlichen Gehörs und des überspitzten Formalismus sind unbegründet. Soweit die letztinstanzlichen Vorbringen nicht als appellatorische Kritik an der vorinstanzlichen Beweiswürdigung unbeachtlich sind, vermögen sie keine Bundesrechtswidrigkeit darzutun.</w:t>
      </w:r>
    </w:p>
    <w:p>
      <w:r>
        <w:rPr>
          <w:b/>
        </w:rPr>
        <w:t>E. 4</w:t>
      </w:r>
    </w:p>
    <w:p>
      <w:r>
        <w:t>Übrige Aspekte der Ermittlung des Invaliditätsgrades und der revisionsweisen Rentenaufhebung werden in der Beschwerde nicht in Frage gestellt. Zu einer näheren Prüfung von Amtes wegen besteht kein Anlass. Die revisionsweise Rentenaufhebung hält nach dem Gesagten vor Bundesrecht stand.</w:t>
      </w:r>
    </w:p>
    <w:p>
      <w:r>
        <w:rPr>
          <w:b/>
        </w:rPr>
        <w:t>E. 5</w:t>
      </w:r>
    </w:p>
    <w:p>
      <w:r>
        <w:t>Die Beschwerde kann ohne Durchführung des Schriftenwechsels ( Art. 102 Abs. 1 BGG ) erledigt werden.</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