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9C_797/2015 vom 3. Dezember 2015</w:t>
      </w:r>
    </w:p>
    <w:p>
      <w:r>
        <w:t>Bundesgericht, 2015-12-03, DE</w:t>
      </w:r>
    </w:p>
    <w:p>
      <w:r>
        <w:rPr>
          <w:b/>
        </w:rPr>
        <w:t xml:space="preserve">Quelle: </w:t>
      </w:r>
      <w:r>
        <w:t>https://mcp.opencaselaw.ch/entscheid/bger_9C_797_2015</w:t>
      </w:r>
    </w:p>
    <w:p>
      <w:r>
        <w:t>FR: TF 9C_797/2015 du 3 décembre 2015</w:t>
      </w:r>
    </w:p>
    <w:p>
      <w:r>
        <w:t>IT: TF 9C_797/2015 del 3 dicembre 2015</w:t>
      </w:r>
    </w:p>
    <w:p>
      <w:pPr>
        <w:pStyle w:val="Heading2"/>
      </w:pPr>
      <w:r>
        <w:t>Erwägungen</w:t>
      </w:r>
    </w:p>
    <w:p>
      <w:r>
        <w:rPr>
          <w:b/>
        </w:rPr>
        <w:t>E. 1.1</w:t>
      </w:r>
    </w:p>
    <w:p>
      <w:r>
        <w:t>Beim Entscheid des Verwaltungsgerichts des Kantons Bern vom 23. Mai 2013 handelt es sich um einen Zwischenentscheid, welcher bezüglich der Höhe der zugesprochenen Entschädigung mittels Beschwerde gegen den Endentscheid anfechtbar ist ( Art. 93 Abs. 3 BGG ). Gelangt - wie in concreto - der Streit nicht mehr vor das kantonale Gericht, bspw. weil die IV-Stelle auf Grund der Ergebnisse ihrer weiteren Abklärungen voll zu Gunsten des Leistungsansprechers entscheidet, kann gegen deren Verfügung innerhalb der Frist des Art. 100 BGG ab Rechtskraft des Endentscheids direkt Beschwerde in öffentlich-rechtlichen Angelegenheiten beim Bundesgericht erhoben werden und es können dabei die betreffenden Punkte gerügt werden ( BGE 139 V 604 E. 3.3 S. 607 f.; Urteil 9C_155/2012 vom 30. Juli 2012 E. 1.1; je mit Hinweisen). Auf die Beschwerde ist einzutreten.</w:t>
      </w:r>
    </w:p>
    <w:p>
      <w:r>
        <w:rPr>
          <w:b/>
        </w:rPr>
        <w:t>E. 1.2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t>Das Bundesgericht darf nicht über die Begehren der Parteien hinausgehen ( Art. 107 Abs. 1 BGG ), wobei Ausgangspunkt der Bindungswirkung das Rechtsbegehren der beschwerdeführenden Partei, nicht jenes der Beschwerdegegnerin ist (MEYER/DORMANN, in: Basler Kommentar, Bundesgerichtsgesetz, 2. Aufl. 2011, N. 2 zu Art. 107 BGG ).</w:t>
      </w:r>
    </w:p>
    <w:p>
      <w:r>
        <w:rPr>
          <w:b/>
        </w:rPr>
        <w:t>E. 2</w:t>
      </w:r>
    </w:p>
    <w:p>
      <w:r>
        <w:t>Zunächst rügt der Beschwerdeführer, die Vorinstanz habe den Anspruch auf rechtliches Gehör ( Art. 29 Abs. 2 BV ) bzw. die Begründungspflicht verletzt, indem sie mit keinem Wort dargelegt habe, weshalb die Erfolgsaussichten der Beschwerde nicht günstig gewesen seien. Tatsächlich nannte das kantonale Gericht die Gründe, aufgrund derer es die Prozessaussichten - im Rahmen einer summarischen Betrachtung - als ungünstig einstufte, nicht. Trotzdem war dem Beschwerdeführer, nicht zuletzt wegen des eng begrenzten Streitgegenstands, eine sachgerechte Anfechtung des Entscheids offensichtlich ohne Weiteres möglich, womit eine Gehörsverletzung fraglich erscheint. So oder anders würde eine Rückweisung der Sache an die Vorinstanz zu einem formalistischen Leerlauf und damit zu unnötigen Verzögerungen führen, die mit dem Interesse der betroffenen Partei an einer beförderlichen Beurteilung der Sache nicht zu vereinbaren wären (vgl. zum Ganzen: BGE 137 I 195 E. 2.3 S. 197 f.; 136 V 117 E. 4.2.2.2 S. 126 f. ; 133 I 201 E. 2.2 S. 204 f.). Dies zeigt sich namentlich daran, dass der Beschwerdeführer (einzig) die Zusprechung einer vollen Parteientschädigung für das kantonale Verfahren beantragt, was einer Rückweisung der Sache an die Vorinstanz entgegensteht. Mithin hat eine materielle Beurteilung der Sache zu erfolgen.</w:t>
      </w:r>
    </w:p>
    <w:p>
      <w:r>
        <w:rPr>
          <w:b/>
        </w:rPr>
        <w:t>E. 3</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Nach ständiger Rechtsprechung anerkennt das Bundesgericht auch bei Gegenstandslosigkeit des kantonalen Beschwerdeverfahrens einen bundesrechtlichen Entschädigungsanspruch ( Art. 61 lit. g ATSG ) der Beschwerde führenden Partei, wenn es die Prozessaussichten rechtfertigen, wie sie sich vor Eintritt der Gegenstandslosigkeit darboten ( BGE 129 V 113 E. 3.1 S. 115 f. mit Hinweisen). Entscheidend ist demnach in erster Linie der mutmassliche Ausgang des Prozesses ( BGE 125 V 373 E. 2a S. 374). Keine Parteientschädigung kann beantragen, wer zwar im Prozess obsiegt, sich aber den Vorwurf gefallen lassen muss, er habe wegen der Verletzung der Mitwirkungspflicht selber zu verantworten, dass ein unnötiger Prozess geführt worden sei (Urteil C 56/03 vom 20. August 2003 E. 3.1, in: SVR 2004 AlV Nr. 8 S. 21; UELI KIESER, ATSG-Kommentar, 3. Aufl. 2015, N. 205 zu Art. 61 ATSG ).</w:t>
      </w:r>
    </w:p>
    <w:p>
      <w:r>
        <w:rPr>
          <w:b/>
        </w:rPr>
        <w:t>E. 4.1</w:t>
      </w:r>
    </w:p>
    <w:p>
      <w:r>
        <w:t>Die Vorinstanz erwog, die Prozessaussichten erschienen kaum als günstig. Trotzdem rechtfertige der Umstand, dass der Beschwerdeführer sein Ziel aus ganz anderen, ausserhalb des Streitgegenstands liegenden Gründen im Ergebnis dennoch erreicht habe, die Zusprechung einer Teil-Parteientschädigung. Hiegegen wendet der Beschwerdeführer ein, entgegen der Vorinstanz sei die Beschwerde aussichtsreich gewesen, womit ihm eine volle Parteientschädigung zustehe.</w:t>
      </w:r>
    </w:p>
    <w:p>
      <w:r>
        <w:rPr>
          <w:b/>
        </w:rPr>
        <w:t>E. 4.2</w:t>
      </w:r>
    </w:p>
    <w:p>
      <w:r>
        <w:t>In der Beschwerde vom 9. April 2013 an das kantonale Gericht hatte der Beschwerdeführer im Wesentlichen geltend gemacht, weil die IV-Stelle erfahrungsgemäss neurochirurgische Begutachtungsaufträge ausschliesslich an Dr. med. B.________ vergebe, bestehe aufgrund ihrer wirtschaftlichen Abhängigkeit der Anschein der Befangenheit. Überdies erfüllten die aktenkundigen Expertisen der Dr. med. B.________ die Anforderungen an ein beweiskräftiges Gutachten nicht. Schliesslich sei fraglich, ob die Gutachterin aufgrund ihres hohen Alters - nach allgemeiner Lebenserfahrung sei in diesem Alter von einem Nachlassen der geistigen Kräfte und einer fehlenden Auseinandersetzung mit neuen medizinischen Erkenntnissen auszugehen - noch in der Lage sei, komplexe Schmerzsyndrome zutreffend zu beurteilen.</w:t>
      </w:r>
    </w:p>
    <w:p>
      <w:r>
        <w:t>Was den zur Hauptsache gerügten Gesichtspunkt der wirtschaftlichen Abhängigkeit betrifft, so führen nach gefestigter Rechtsprechung des Bundesgerichts der regelmässige Beizug eines Gutachters durch den Versicherungsträger, die Anzahl der beim selben Arzt in Auftrag gegebenen Gutachten und Berichte sowie das daraus resultierende Honorarvolumen für sich allein genommen nicht zum Ausstand (statt vieler: BGE 137 V 210 E. 1.3.3 S. 226 f. mit Hinweisen). Mit Blick auf diese Rechtsprechung sowie die übrigen Einwände gegen die Fachärztin, welche sich in pauschaler Kritik erschöpfen bzw. welche auf "der allgemeinen Lebenserfahrung" beruhen, ohne dass Substanziiertes gegen die Expertin vorgebracht wird, ist nicht zu beanstanden, dass die Vorinstanz die Prozessaussichten unmittelbar vor Eintritt der Gegenstandslosigkeit nicht als günstig eingestuft hat.</w:t>
      </w:r>
    </w:p>
    <w:p>
      <w:r>
        <w:rPr>
          <w:b/>
        </w:rPr>
        <w:t>E. 4.3</w:t>
      </w:r>
    </w:p>
    <w:p>
      <w:r>
        <w:t>Schliesslich moniert der Beschwerdeführer eine willkürliche Anwendung von Art. 108 Abs. 1 i.V.m. Art. 110 Abs. 1 des bernischen Gesetzes vom 23. Mai 1989 über die Verwaltungsrechtspflege (VRPG; BSG 155.21). Das Bundesgericht prüft die Rüge der Verletzung von kantonalem Recht nur insofern, als sie in der Beschwerde präzise vorgebracht und begründet wird ( Art. 106 Abs. 2 BGG ; BGE 135 V 309 E. 10 S. 318 ; 133 I 201 E. 1 S. 203; 133 II 249 E. 1.4.2 S. 254). Diesen qualifizierten Rügeanforderungen kommt der Beschwerdeführer nicht einmal im Ansatz nach, weshalb hierauf nicht einzugehen ist.</w:t>
      </w:r>
    </w:p>
    <w:p>
      <w:r>
        <w:rPr>
          <w:b/>
        </w:rPr>
        <w:t>E. 4.4</w:t>
      </w:r>
    </w:p>
    <w:p>
      <w:r>
        <w:t>Da eine Abänderung zu Lasten des Beschwerdeführers (reformatio in peius) ausgeschlossen ist (E. 1.2 hievor), braucht nicht geprüft zu werden, ob die Zusprechung einer reduzierten Parteientschädigung trotz ungünstigen Prozessaussichten (E. 4.1 hievor) vor Bundesrecht standhält und es muss beim angefochtenen Entscheid sein Bewenden haben.</w:t>
      </w:r>
    </w:p>
    <w:p>
      <w:r>
        <w:rPr>
          <w:b/>
        </w:rPr>
        <w:t>E. 5</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