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9C_796/2008 vom 6. November 2008</w:t>
      </w:r>
    </w:p>
    <w:p>
      <w:r>
        <w:t>Bundesgericht, 2008-11-06, DE</w:t>
      </w:r>
    </w:p>
    <w:p>
      <w:r>
        <w:rPr>
          <w:b/>
        </w:rPr>
        <w:t xml:space="preserve">Quelle: </w:t>
      </w:r>
      <w:r>
        <w:t>https://mcp.opencaselaw.ch/entscheid/bger_9C_796_2008</w:t>
      </w:r>
    </w:p>
    <w:p>
      <w:r>
        <w:t>FR: TF 9C_796/2008 du 6 novembre 2008</w:t>
      </w:r>
    </w:p>
    <w:p>
      <w:r>
        <w:t>IT: TF 9C_796/2008 del 6 novembre 2008</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ob der Beschwerdeführerin eine höhere als die von der IV-Stelle zugesprochene Viertelsrente der Invalidenversicherung zusteht. Das kantonale Gericht hat die zur Beurteilung dieses Anspruchs einschlägigen Rechtsgrundlagen zutreffend dargelegt. Darauf wird verwiesen.</w:t>
      </w:r>
    </w:p>
    <w:p>
      <w:r>
        <w:rPr>
          <w:b/>
        </w:rPr>
        <w:t>E. 2.1</w:t>
      </w:r>
    </w:p>
    <w:p>
      <w:r>
        <w:t>Die Vorinstanz hat in inhaltsbezogener, umfassender, sorgfältiger und objektiver Würdigung der Akten ( BGE 132 V 393 E. 4.1 S. 400), auf welche verwiesen wird, insbesondere gestützt auf das in seinen Schlussfolgerungen nachvollziehbare Gutachten der Klinik Y.________ vom 19. September 2007 festgestellt, dass bei der Beschwerdeführerin in ihrer angestammten Tätigkeit als Produktionsmitarbeiterin bei der Firma X.________ AG aus rheumatologischer Sicht keine Arbeitsfähigkeit mehr, jedoch für eine leichte, wechselbelastende Tätigkeit eine solche von 60 % besteht. Die Einwände der Beschwerdeführerin sind nicht geeignet, diese Tatsachenfeststellungen ( BGE 132 V 393 E. 3.2 S. 397) als offensichtlich unrichtig oder sonst wie als bundesrechtswidrig erscheinen zu lassen:</w:t>
      </w:r>
    </w:p>
    <w:p>
      <w:r>
        <w:rPr>
          <w:b/>
        </w:rPr>
        <w:t>E. 2.2</w:t>
      </w:r>
    </w:p>
    <w:p>
      <w:r>
        <w:t>Konkrete Hinweise, die gegen die Zuverlässigkeit des Gutachtens der Klinik Y.________ sprechen, sind nicht ersichtlich und können namentlich nicht in der abweichenden Arbeitsunfähigkeitsschätzung durch Frau Dr. med. R.________ erblickt werden. Bereits die Vorinstanz hat überzeugend dargelegt, dass die Berichte der Frau Dr. med. R.________ den Beweiswert des umfassenderen und aktuelleren Gutachtens nicht zu schmälern vermögen, namentlich nicht im Lichte der Rechtsprechung zur Verschiedenheit von Behandlungs- und Begutachtungsauftrag: statt vieler Urteil 8C_663/2 vom 4. August 2008 E. 4.2 mit Hinweisen). Offensichtlich unrichtig ist die vorinstanzliche Tatsachenfeststellung einer 60%igen Arbeitsfähigkeit in zumutbaren Verweisungstätigkeiten keinesfalls.</w:t>
      </w:r>
    </w:p>
    <w:p>
      <w:r>
        <w:rPr>
          <w:b/>
        </w:rPr>
        <w:t>E. 2.3</w:t>
      </w:r>
    </w:p>
    <w:p>
      <w:r>
        <w:t>Entgegen den Vorbringen in der Beschwerde ist auch der vorinstanzliche Einkommensvergleich bundesrechtlich nicht zu beanstanden. Die Vorinstanz hat entgegen der Auffassung der Beschwerdeführerin zu Recht keine Parallelisierung der Einkommen vorgenommen, nachdem die Abweichung des Valideneinkommens der Beschwerdeführerin vom branchenüblichen Lohn mit 5.11 % nicht als erheblich bezeichnet werden kann ( BGE 134 V 322 E. 4.1 S. 325; Urteil 9C_488/2008 vom 5. September 2008).</w:t>
      </w:r>
    </w:p>
    <w:p>
      <w:r>
        <w:rPr>
          <w:b/>
        </w:rPr>
        <w:t>E. 2.4</w:t>
      </w:r>
    </w:p>
    <w:p>
      <w:r>
        <w:t>Schliesslich ist darin, dass die Vorinstanz vom von der IV-Stelle ermittelten Invaliditätsgrad von 49 % abgewichen ist und auf Grund anderer Berechnungsgrundlagen selbst einen solchen von 44.7 % ermittelt hat, keine reformatio in peius zu erblicken, nachdem beide Invaliditätsgrade in der Bandbreite für eine Viertelsrente liegen, weshalb auch keine Verletzung des rechtlichen Gehörs vorliegt.</w:t>
      </w:r>
    </w:p>
    <w:p>
      <w:r>
        <w:rPr>
          <w:b/>
        </w:rPr>
        <w:t>E. 3</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