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9C_795/2019 vom 10. Dezember 2019</w:t>
      </w:r>
    </w:p>
    <w:p>
      <w:r>
        <w:t>Bundesgericht, 2019-12-10, DE</w:t>
      </w:r>
    </w:p>
    <w:p>
      <w:r>
        <w:rPr>
          <w:b/>
        </w:rPr>
        <w:t xml:space="preserve">Quelle: </w:t>
      </w:r>
      <w:r>
        <w:t>https://mcp.opencaselaw.ch/entscheid/bger_9C_795_2019</w:t>
      </w:r>
    </w:p>
    <w:p>
      <w:r>
        <w:t>FR: TF 9C_795/2019 du 10 décembre 2019</w:t>
      </w:r>
    </w:p>
    <w:p>
      <w:r>
        <w:t>IT: TF 9C_795/2019 del 10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9C_795/2019</w:t>
      </w:r>
    </w:p>
    <w:p>
      <w:r>
        <w:t>Urteil vom 10. Dezember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Thurgau, Frauenfelderstrasse 16, 8570 Weinfelden,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des Verwaltungsgerichts des Kantons Thurgau</w:t>
      </w:r>
    </w:p>
    <w:p>
      <w:r>
        <w:t>vom 23. Oktober 2019 (VV.2019.192/Z).</w:t>
      </w:r>
    </w:p>
    <w:p>
      <w:r>
        <w:t>Nach Einsicht</w:t>
      </w:r>
    </w:p>
    <w:p>
      <w:r>
        <w:t>in die Beschwerden vom 26. November 2019 (Poststempel) und vom 9. Dezember 2019 (Poststempel) gegen den Zwischenentscheid des Verwaltungsgerichts des Kantons Thurgau vom 23. Oktober 2019 betreffend unentgeltliche Rechtspflege,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Beschwerden diesen inhaltlichen Mindestanforderungen nicht genügen, da sie keinen rechtsgenüglichen Antrag enthalten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der Beschwerdeführer insbesondere nicht geltend macht, inwiefern die Vorinstanz zu Unrecht Aussichtslosigkeit des Revisionsgesuchs angenommen hat,</w:t>
      </w:r>
    </w:p>
    <w:p>
      <w:r>
        <w:t>dass deshalb im vereinfachten Verfahren nach Art. 108 Abs. 1 lit. b BGG auf die offensichtlich unzulässige Beschwerde nicht einzutreten ist und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Ausgleichskasse des Kantons Thurgau und dem Bundesamt für Sozialversicherungen schriftlich mitgeteilt.</w:t>
      </w:r>
    </w:p>
    <w:p>
      <w:r>
        <w:t>Luzern, 10. Dezember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