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794/2012 vom 4. März 2013</w:t>
      </w:r>
    </w:p>
    <w:p>
      <w:r>
        <w:t>Bundesgericht, 2013-03-04, DE</w:t>
      </w:r>
    </w:p>
    <w:p>
      <w:r>
        <w:rPr>
          <w:b/>
        </w:rPr>
        <w:t xml:space="preserve">Quelle: </w:t>
      </w:r>
      <w:r>
        <w:t>https://mcp.opencaselaw.ch/entscheid/bger_9C_794_2012</w:t>
      </w:r>
    </w:p>
    <w:p>
      <w:r>
        <w:t>FR: TF 9C 794/2012 du 4 mars 2013</w:t>
      </w:r>
    </w:p>
    <w:p>
      <w:r>
        <w:t>IT: TF 9C 794/2012 del 4 marzo 2013</w:t>
      </w:r>
    </w:p>
    <w:p>
      <w:pPr>
        <w:pStyle w:val="Heading2"/>
      </w:pPr>
      <w:r>
        <w:t>Regeste</w:t>
      </w:r>
    </w:p>
    <w:p>
      <w:r>
        <w:t>Invalidenversicherung | Invalidenversicherung</w:t>
      </w:r>
    </w:p>
    <w:p>
      <w:pPr>
        <w:pStyle w:val="Heading2"/>
      </w:pPr>
      <w:r>
        <w:t>Erwägungen</w:t>
      </w:r>
    </w:p>
    <w:p>
      <w:r>
        <w:rPr>
          <w:b/>
        </w:rPr>
        <w:t>E. 1.1</w:t>
      </w:r>
    </w:p>
    <w:p>
      <w:r>
        <w:t>Gegenstand des vorinstanzlichen Verfahrens bildete einzig der Rentenanspruch (vgl. BGE 125 V 413 E. 1 S. 414 f.); darauf bezieht sich auch die Begründung der Beschwerde. Auf den Antrag Ziff. 1 ist daher nicht weiter einzugehen.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137 V 210 E. 6.1.2 S. 267; 132 V 93 E. 7.1 S. 109 mit Hinweis; Urteil 9C_1061/2009 vom 11. März 2010 E. 4.1; Urteil 9C_104/2012 vom 12. September 2012 E. 3.1). Was die Berichte behandelnder Ärzte betrifft, so gilt der Grundsatz, dass diese aufgrund der auftragsrechtlichen Vertrauensstellung zum Patienten mit Vorbehalt zu würdigen sind ( BGE 125 V 351 E. 3b/cc S. 353). Dies gilt für den allgemein praktizierenden Hausarzt wie den behandelnden Spezialarzt (Urteile 9C_559/2012 vom 27. November 2012 E. 1; I 655/05 vom 20. März 2006 E. 5.4).</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w:t>
      </w:r>
    </w:p>
    <w:p>
      <w:r>
        <w:t>Die Vorinstanz hat dem polydisziplinären Gutachten des Instituts X.________ vom 21. Februar 2008 (mit Stellungnahme vom 13. Januar 2009) und dem psychiatrischen Gutachten des Dr. med. K.________ vom 4. Juli 2010 (mit Stellungnahme vom 19. Oktober 2010) Beweiskraft beigemessen und gestützt darauf für jede Tätigkeit eine seit Juni 2006 bestehende Arbeitsfähigkeit von mindestens 70 % festgestellt. Auf dieser Grundlage hat sie einen Invaliditätsgrad von (höchstens) 36 % ermittelt und folglich den Anspruch auf eine Invalidenrente verneint. Die Beschwerdeführerin stellt in Bezug auf die - im Vordergrund stehenden - psychischen Aspekte die Beweiskraft der Gutachten in Abrede.</w:t>
      </w:r>
    </w:p>
    <w:p>
      <w:r>
        <w:rPr>
          <w:b/>
        </w:rPr>
        <w:t>E. 4.1</w:t>
      </w:r>
    </w:p>
    <w:p>
      <w:r>
        <w:t>Die Stellungnahmen des Instituts X.________ vom 13. Januar 2009 und des Dr. med. K.________ vom 19. Oktober 2010 stellen eine Erläuterung resp. Ergänzung der jeweiligen Gutachten dar (vgl. ANNETTE DOLGE, in: Basler Kommentar, Schweizerische Zivilprozessordnung, 2010, N. 6 zu Art. 187 ZPO ). Solche bilden ebenfalls Teil der Expertise und sind dementsprechend zu berücksichtigen. Indem sich die Experten jeweils zwar nachträglich, jedoch explizit und überzeugend zum Gutachten des Dr. med. S.________ vom 12. September 2007 resp. zu den Berichten der behandelnden Psychiaterin Frau Dr. med. H.________ vom 5. Juni 2007 und 18. April 2008 äusserten, erfolgte ihre (definitive) Einschätzung des medizinischen Sachverhalts in vollständiger Kenntnis der Vorakten. Dass die Auffassung der behandelnden Ärztin nicht übernommen wurde, lässt nicht darauf schliessen, dass ihre Berichte nur "selektiv einbezogen" worden sein sollen. Auch der Umstand, dass Dr. med. K.________ bei Frau Dr. med. H.________ einen Verlaufsbericht angefordert haben will, einen solchen aber nicht erhielt und daher nicht mitberücksichtigen konnte, mindert nicht die Aussagekraft seines Gutachtens. Einerseits steht das Einholen fremdanamnestischer Auskünfte im Ermessen des Experten (Urteil 9C_65/2012 vom 28. Februar 2012 E. 4.3 mit Hinweisen); dies gilt auch für den nachträglichen Entscheid, darauf zu verzichten. Anderseits erfolgte eine ausführliche Auseinandersetzung mit den diversen Berichten der Psychiaterin, während Anhaltspunkte für eine Veränderung des Gesundheitszustandes der Versicherten fehlen. Weiter beruhen die Gutachten auf umfangreichen eigenen Untersuchungen und Befunderhebungen der Experten, die u.a. die Erkenntnisse des Dr. med. S.________ und der Frau Dr. med. H.________ - insbesondere in Bezug auf Denkstörungen, gestörte Erlebnis- und Verhaltensmuster und daraus sich ergebende Diagnosen - nachvollziehbar diskutierten. Dabei legten sie namentlich einleuchtend dar, weshalb die Diagnosen einer andauernden Persönlichkeitsänderung nach Extrembelastung (ICD-10: F62.0; vgl. die unter www.dimdi.de abrufbaren Kriterien, wonach u.a. eine Belastung katastrophalen Ausmasses erforderlich ist) oder einer Persönlichkeitsstörung nach ICD-10 F60 resp. F61 nicht haltbar sind. Es kann daher nicht von blosser Negation der Probleme oder der abweichenden Auffassungen anderer Ärzte gesprochen werden. Es ist auch nicht ersichtlich, dass Dr. med. K.________ ausschliesslich auf den kritisierten MMPI-2-Test abgestellt oder sein Verzicht auf ein "strukturiertes Interview" die Regeln der ärztlichen Kunst verletzt haben soll. Das Gutachten des Dr. med. S.________ vom 12. September 2007 (mit Stellungnahme vom 22. März 2008) und die Berichte der Frau Dr. med. H.________ vermögen daher die Beweiskraft der Expertisen des Instituts X.________ und des Dr. med. K.________, die nach verbindlicher vorinstanzlicher Feststellung (E. 1.2) untereinander im Einklang stehen, nicht zu erschüttern (vgl. BGE 125 V 351 E. 3b/bb S. 353).</w:t>
      </w:r>
    </w:p>
    <w:p>
      <w:r>
        <w:rPr>
          <w:b/>
        </w:rPr>
        <w:t>E. 4.2</w:t>
      </w:r>
    </w:p>
    <w:p>
      <w:r>
        <w:t>Ergänzend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(Urteile 8C_997/2010 vom 10. August 2011 E. 3.2; 8C_694/2008 vom 5. März 2009 E. 5.1). Dass die vorinstanzliche Beweiswürdigung offensichtlich unrichtig sein soll, wird nicht geltend gemacht und ist auch nicht ersichtlich. Nach dem Gesagten ist der Verzicht auf weitere medizinische Abklärungen in zulässiger antizipierender Beweiswürdigung ( BGE 136 I 229 E. 5.3 S. 236 mit Hinweisen) erfolgt.</w:t>
      </w:r>
    </w:p>
    <w:p>
      <w:r>
        <w:rPr>
          <w:b/>
        </w:rPr>
        <w:t>E. 4.3</w:t>
      </w:r>
    </w:p>
    <w:p>
      <w:r>
        <w:t>Die auf die beweiskräftigen Gutachten des Instituts X.________ und des Dr. med. K.________ gestützte vorinstanzliche Feststellung betreffend die Arbeitsfähigkeit (E. 3) bleibt für das Bundesgericht verbindlich (E. 1.2). Die übrigen Faktoren der Invaliditätsbemessung werden nicht beanstandet; es besteht kein Anlass für eine nähere Prüfung von Amtes wegen ( BGE 125 V 413 E. 1b und 2c S. 415 ff.; 110 V 48 E. 4a S. 53).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