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794/2011 vom 28. Februar 2012</w:t>
      </w:r>
    </w:p>
    <w:p>
      <w:r>
        <w:t>Bundesgericht, 2012-02-28, DE</w:t>
      </w:r>
    </w:p>
    <w:p>
      <w:r>
        <w:rPr>
          <w:b/>
        </w:rPr>
        <w:t xml:space="preserve">Quelle: </w:t>
      </w:r>
      <w:r>
        <w:t>https://mcp.opencaselaw.ch/entscheid/bger_9C_794_2011</w:t>
      </w:r>
    </w:p>
    <w:p>
      <w:r>
        <w:t>FR: TF 9C 794/2011 du 28 février 2012</w:t>
      </w:r>
    </w:p>
    <w:p>
      <w:r>
        <w:t>IT: TF 9C 794/2011 del 28 febbraio 2012</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w:t>
      </w:r>
    </w:p>
    <w:p>
      <w:r>
        <w:rPr>
          <w:b/>
        </w:rPr>
        <w:t>E. 1.2</w:t>
      </w:r>
    </w:p>
    <w:p>
      <w:r>
        <w:t>Im kantonalen Entscheid werden die Voraussetzungen, unter welchen die obligatorische Krankenpflegeversicherung die Kosten der Krankenpflege zu Hause zu übernehmen hat, zutreffend dargelegt. Darauf wird verwiesen.</w:t>
      </w:r>
    </w:p>
    <w:p>
      <w:r>
        <w:rPr>
          <w:b/>
        </w:rPr>
        <w:t>E. 2.1</w:t>
      </w:r>
    </w:p>
    <w:p>
      <w:r>
        <w:t>Nicht angefochten ist der vorinstanzliche Entscheid insoweit, als die Leistungspflicht der Helsana wegen eines ausgeprägten Missverhältnisses zwischen Spitex- und Pflegeheimkosten grundsätzlich auf die Pflegeheimkosten beschränkt wird. Die Beschwerde der Helsana richtet sich gegen die Übergangsfrist, die der angefochtene Entscheid der Versicherten bis Ende September 2010 einräumt, während welcher diese Anspruch auf Vergütung der in Rechnung gestellten (höheren) Spitex-Kosten habe. Die Vorinstanz stützte sich hiefür auf den allgemeinen Grundsatz der Schadenminderungspflicht und eine analoge Anwendung der zu Art. 6 ATSG ergangenen Rechtsprechung, wonach die Arbeitsunfähigkeit unter Berücksichtigung des bisherigen Berufes festzusetzen ist, solange von der versicherten Person vernünftigerweise nicht verlangt werden kann, ihre restliche Arbeitsfähigkeit in einem anderen Berufszweig zu verwerten, wofür ihr eine gewisse Übergangsfrist eingeräumt wird ( BGE 130 V 343 E. 3.1-3.1.2). Die Vorinstanz beabsichtigte damit, dem Umstand Rechnung zu tragen, dass der Beschwerdegegnerin ein sofortiger Wechsel von der Haus- zur Heimpflege (mit Wohnungskündigung, Umzug ins Heim etc.) nicht zugemutet werden könne.</w:t>
      </w:r>
    </w:p>
    <w:p>
      <w:r>
        <w:rPr>
          <w:b/>
        </w:rPr>
        <w:t>E. 2.2</w:t>
      </w:r>
    </w:p>
    <w:p>
      <w:r>
        <w:t>Die im Sinne des vorinstanzlichen Entscheides auf die Vergütung der tieferen Pflegeheimkosten beschränkte Leistungspflicht der Beschwerdeführerin hat ihren Grund darin, dass die Versicherte verpflichtet ist, sich im Sinne des Schadenminderungsgrundsatzes zu verhalten (vgl. Gebhard Eugster, Krankenversicherung, in: Meyer [Hrsg.], Schweizerisches Bundesverwaltungsrecht [SBVR], Soziale Sicherheit, 2. Aufl. 2007, S. 521 f. Rz. 376 f.; Hardy Landolt, Pflegerecht, Band II, 2002, S. 98 Rz. 157 und S. 686 f. Rz. 1295; vgl. auch Brigitte Pfiffner Rauber, Das Recht auf Krankheitsbehandlung und Pflege, Diss. Zürich 2003, S. 270 ff.; Dieselbe, Pflegeheim oder Hauspflege?, Zur Leistungspflicht der obligatorischen Krankenpflegeversicherung, in: AJP 2000 S. 1403 ff.). Insofern ist der zu beurteilende Sachverhalt mit der Art. 6 ATSG zugrunde liegenden Konstellation wohl vergleichbar. Die Rechtsprechung gewährt in diesem Zusammenhang eine den Umständen angemessene Anpassungszeit, die mehrere Monate betragen kann (vgl. eine Übersicht zur einschlägigen Rechtsprechung bei Ueli Kieser, ATSG-Kommentar, 2009, N. 21 zu Art. 6 ATSG ). Sachlich sowie wertungsmässig (teleologisch) und daher für eine Analogie-Anwendung weitaus näher liegend sind jedoch - wenn überhaupt - die Fälle, in welchen Versicherte nach einem Spitalaufenthalt in einem Pflegeheim untergebracht werden müssen; die Praxis gesteht diesfalls eine Übergangszeit von bis zu einem Monat zu, während welcher noch die stationären Leistungen ausgerichtet werden ( BGE 124 V 362 E. 2c S. 366 f.; Urteil des Eidg. Versicherungsgerichts K 20/06 vom 20. Oktober 2006 E. 4.1; K 175/05 vom 12. April 2006 E. 2.2.1; K 44/05 vom 20. Oktober 2005 E. 2.4; K 157/04 vom 14. April 2005 E. 2.3; Eugster, a.a.O., S. 529 Rz. 399; Landolt, a.a.O., S. 618 f. Rz. 1171). Die Einräumung dieser Übergangsfrist wird damit gerechtfertigt, dass die versicherte Person Dispositionen für die Umplatzierung zu treffen hat ( BGE 115 V 38 E. 3d S. 53; Urteil K 20/06 vom 20. Oktober 2006 E. 4.1). Sie ist hingegen nicht angezeigt, wenn nach der Hospitalisierung eine Rückkehr nach Hause beabsichtigt und möglich ist (Eugster, a.a.O., S. 529 Rz. 399). Aus derselben Überlegung fällt auch bei der Beschwerdegegnerin eine Übergangsfrist von vornherein ausser Betracht: Nach den für das Bundesgericht grundsätzlich verbindlichen Feststellungen im angefochtenen Entscheid (vgl. E. 1.1) wäre der Beschwerdegegnerin ein Heimeintritt möglich gewesen; der Grund, weshalb er nicht erfolgt ist, liegt einzig darin, dass sie weiterhin - unterstützt durch die Leistungen der Spitex - in der Wohnung bleiben wollte. Unter diesen Umständen hatte die Versicherte keine Vorbereitungen für einen Umzug ins Pflegeheim zu treffen, welche allenfalls, was hier offenbleiben kann, die Einräumung einer Übergangsfrist zu rechtfertigen vermöchten (vgl. auch Urteil des Eidg. Versicherungsgerichts K 95/03 vom 11. Mai 2004 E. 4, wo eine zwingende Übergangsfrist ebenso wenig zur Diskussion stand). Die von der Beschwerdegegnerin vernehmlassungsweise zu diesem Punkt neu vorgetragenen Vorbringen sind nicht zu hören. Sie sind unzulässig, weil die Beschwerdegegnerin damit nicht auf ein nach Art. 99 Abs. 1 BGG zulässiges Novum antwortet (vgl. Ulrich Meyer/Johanna Dormann, Basler Kommentar, Bundesgerichtsgesetz, 2. Aufl. 2011, N. 2 zu Art. 102 BGG ; Urteil 1B_331/2011 vom 18. Oktober 2011 E. 1.3).</w:t>
      </w:r>
    </w:p>
    <w:p>
      <w:r>
        <w:rPr>
          <w:b/>
        </w:rPr>
        <w:t>E. 2.3</w:t>
      </w:r>
    </w:p>
    <w:p>
      <w:r>
        <w:t>Nach dem Gesagten besteht, entgegen dem angefochtenen Entscheid, kein Anlass für die Einräumung einer bis Ende September 2010 währenden Übergangsfrist, während welcher die Beschwerdeführerin die höheren Spitex-Kosten zu übernehmen hätte. Vielmehr wäre die Helsana berechtigt gewesen, ihre Leistungen ab 1. Mai 2010 auf die dem Pflegeheimtarif entsprechenden Kosten zu beschränken. Ihr Vorgehen, bis Ende Juli 2010 150 % und anschliessend 100 % des Pflegeheimtarifs zu übernehmen, lässt sich nicht beanstanden.</w:t>
      </w:r>
    </w:p>
    <w:p>
      <w:r>
        <w:rPr>
          <w:b/>
        </w:rPr>
        <w:t>E. 3</w:t>
      </w:r>
    </w:p>
    <w:p>
      <w:r>
        <w:t>Entsprechend dem Ausgang des Verfahrens werden die Gerichtskosten der Beschwerdegegnerin auferlegt ( Art. 66 Abs. 1 BGG ). Die obsiegende Beschwerdeführerin kann keine Parteientschädigung beanspruchen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