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9C_793/2018 vom 14. März 2019</w:t>
      </w:r>
    </w:p>
    <w:p>
      <w:r>
        <w:t>Bundesgericht, 2019-03-14, DE</w:t>
      </w:r>
    </w:p>
    <w:p>
      <w:r>
        <w:rPr>
          <w:b/>
        </w:rPr>
        <w:t xml:space="preserve">Quelle: </w:t>
      </w:r>
      <w:r>
        <w:t>https://mcp.opencaselaw.ch/entscheid/bger_9C_793_2018</w:t>
      </w:r>
    </w:p>
    <w:p>
      <w:r>
        <w:t>FR: TF 9C_793/2018 du 14 mars 2019</w:t>
      </w:r>
    </w:p>
    <w:p>
      <w:r>
        <w:t>IT: TF 9C_793/2018 del 14 marzo 2019</w:t>
      </w:r>
    </w:p>
    <w:p>
      <w:pPr>
        <w:pStyle w:val="Heading2"/>
      </w:pPr>
      <w:r>
        <w:t>Erwägungen</w:t>
      </w:r>
    </w:p>
    <w:p>
      <w:r>
        <w:rPr>
          <w:b/>
        </w:rPr>
        <w:t>E. 1</w:t>
      </w:r>
    </w:p>
    <w:p>
      <w:r>
        <w:t>Strittig und zu beurteilen ist einzig die Höhe des Anspruchs auf eine Alterskinderpension.</w:t>
      </w:r>
    </w:p>
    <w:p>
      <w:r>
        <w:rPr>
          <w:b/>
        </w:rPr>
        <w:t>E. 2</w:t>
      </w:r>
    </w:p>
    <w:p>
      <w:r>
        <w:t>Die Vorinstanz stellte fest, gemäss Vorsorgeausweis habe das Altersguthaben am 1. Juni 2017 Fr. 153'152.- betragen. Der BVG-Anteil, d.h. der Anteil der obligatorischen Versicherung, habe sich auf Fr. 70'470.- belaufen. Sie erwog, gemäss Art. 32 des Vorsorgereglements der Pensionskasse betrage die Alterskinderpension 10 % der Alterspension. Demgegenüber sehe Art. 17 i.V.m. Art. 21 Abs. 2 BVG vor, dass die Kinderpension 20 % der Altersrente betragen müsse, wobei diese Regelung nur für die obligatorische Vorsorge gelte. In der weitergehenden Vorsorge seien reglementarische Bestimmungen, welche die Berechnung der Kinderrente abweichend vom Gesetz regelten, zulässig, sofern betraglich das BVG-Minimum erreicht werde und die allgemeinen Grundsätze Beachtung fänden. Bei einem Umwandlungssatz in der obligatorischen beruflichen Vorsorge im Jahr 2018 von 6.8 % ( Art. 14 Abs. 2 BVG ) ergebe sich ein Anspruch auf eine obligatorische jährliche Altersrente in Höhe von Fr. 4'791.95 (Fr. 70'470.- x 0.068) und eine Kinderrente von Fr. 958.40 (Fr. 4'791.95 x 0.2). Die dem Versicherten ausgerichtete Kinderalterspension in Höhe von jährlich Fr. 907.50 entspreche demnach nicht den gesetzlichen Minimalanforderungen gemäss Art. 17 i.V.m. Art. 21 Abs. 2 BVG .</w:t>
      </w:r>
    </w:p>
    <w:p>
      <w:r>
        <w:rPr>
          <w:b/>
        </w:rPr>
        <w:t>E. 3</w:t>
      </w:r>
    </w:p>
    <w:p>
      <w:r>
        <w:t>Die Beschwerdeführerin rügt, sie sei eine umhüllende Vorsorgeeinrichtung, deren Leistungen grundsätzlich über den obligatorischen Bereich der beruflichen Vorsorge hinausgingen. Für sie gelte deshalb das Anrechnungsprinzip, das gemäss BGE 136 V 313 auch in Bezug auf Kinderrenten - als zur Hauptrente akzessorische Leistungen - zur Anwendung gelange. Gemäss höchstrichterlicher Rechtsprechung sei es folglich ausreichend, wenn der reglementarische Betrag der Hauptrente höher sei als der gesetzliche Gesamtbetrag von Haupt- und Kinderrente. Konkret habe der Versicherte bei der Pensionierung über ein Altersguthaben von Fr. 159'493.15 verfügt; der BVG-Anteil habe sich auf Fr. 73'288.80 belaufen. Bei einem Umwandlungssatz von 6.8 % resultiere ein Anspruch auf eine BVG-Altersrente von jährlich Fr. 4'983.65 und eine BVG-Kinderrente von Fr. 996.75 pro Jahr (zusammen: Fr. 5'980.40). Reglementarisch bestehe demgegenüber Anspruch auf eine Alterspension von Fr. 9'075.15 pro Jahr sowie eine Alterskinderpension von jährlich Fr. 907.50. Allein schon die Alterspension sei weit höher als der gesetzliche Anspruch auf Alters- und Kinderrente, weshalb gestützt auf den Grundsatz des Anrechnungsprinzips die gesetzlichen Minimalanforderungen erfüllt seien. Die Vorinstanz habe Bundesrecht verletzt, indem sie lediglich die beiden Kinderrenten (obligatorische und reglementarische Leistung) verglichen habe, ohne dabei die Höhe der Hauptrente mit zu berücksichtigen.</w:t>
      </w:r>
    </w:p>
    <w:p>
      <w:r>
        <w:rPr>
          <w:b/>
        </w:rPr>
        <w:t>E. 4</w:t>
      </w:r>
    </w:p>
    <w:p>
      <w:r>
        <w:t>Eine umhüllende Vorsorgeeinrichtung hat die gesetzlichen Leistungen auszurichten, sofern diese höher sind als der aufgrund des Reglements bzw. der Statuten berechnete Anspruch (Anrechnungsprinzip; BGE 143 V 434 E. 3.3.1 S. 439 mit Hinweisen). Das Anrechnungsprinzip gilt auch mit Bezug auf - akzessorische - Kinderrenten (grundlegend: BGE 136 V 313 E. 5.3.7 S. 321; vgl. ausserdem BGE 140 V 169 E. 6.2 S. 176) und führt i.c. dazu, dass die Pensionskasse die reglementarischen Altersleistungen (Alterspension und Alterskinderpension) - welche die gesetzlichen bei Weitem übersteigen - auszurichten hat. Der angefochtene Entscheid weicht von dieser Rechtsprechung ab, ohne dass triftige Gründe für eine Praxisänderung genannt würden oder ersichtlich wären, und verletzt mithin Bundesrecht.</w:t>
      </w:r>
    </w:p>
    <w:p>
      <w:r>
        <w:rPr>
          <w:b/>
        </w:rPr>
        <w:t>E. 5</w:t>
      </w:r>
    </w:p>
    <w:p>
      <w:r>
        <w:t>Die Beschwerde ist offensichtlich begründet, weshalb sie im vereinfachten Verfahren nach Art. 109 Abs. 2 lit. b BGG gutgeheissen wird.</w:t>
      </w:r>
    </w:p>
    <w:p>
      <w:r>
        <w:rPr>
          <w:b/>
        </w:rPr>
        <w:t>E. 6</w:t>
      </w:r>
    </w:p>
    <w:p>
      <w:r>
        <w:t>Auf die Erhebung von Gerichtskosten wird umständehalber verzichtet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