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9C_793/2012 vom 9. Oktober 2012</w:t>
      </w:r>
    </w:p>
    <w:p>
      <w:r>
        <w:t>Bundesgericht, 2012-10-09, DE</w:t>
      </w:r>
    </w:p>
    <w:p>
      <w:r>
        <w:rPr>
          <w:b/>
        </w:rPr>
        <w:t xml:space="preserve">Quelle: </w:t>
      </w:r>
      <w:r>
        <w:t>https://mcp.opencaselaw.ch/entscheid/bger_9C_793_2012</w:t>
      </w:r>
    </w:p>
    <w:p>
      <w:r>
        <w:t>FR: TF 9C_793/2012 du 9 octobre 2012</w:t>
      </w:r>
    </w:p>
    <w:p>
      <w:r>
        <w:t>IT: TF 9C_793/2012 del 9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9C_793/2012</w:t>
      </w:r>
    </w:p>
    <w:p>
      <w:r>
        <w:t>Urteil vom 9. Oktober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Schmutz.</w:t>
      </w:r>
    </w:p>
    <w:p>
      <w:r>
        <w:t>Verfahrensbeteiligte</w:t>
      </w:r>
    </w:p>
    <w:p>
      <w:r>
        <w:t>C.________,</w:t>
      </w:r>
    </w:p>
    <w:p>
      <w:r>
        <w:t>Beschwerdeführer,</w:t>
      </w:r>
    </w:p>
    <w:p>
      <w:r>
        <w:t>gegen</w:t>
      </w:r>
    </w:p>
    <w:p>
      <w:r>
        <w:t>Amt für Zusatzleistungen zur AHV/IV, Molkenstrasse 5/9, 8004 Zürich,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</w:t>
      </w:r>
    </w:p>
    <w:p>
      <w:r>
        <w:t>des Sozialversicherungsgerichts des Kantons Zürich</w:t>
      </w:r>
    </w:p>
    <w:p>
      <w:r>
        <w:t>vom 31. August 2012.</w:t>
      </w:r>
    </w:p>
    <w:p>
      <w:r>
        <w:t>Nach Einsicht</w:t>
      </w:r>
    </w:p>
    <w:p>
      <w:r>
        <w:t>in die Beschwerde vom 27. September 2012 (Poststempel) gegen den Entscheid des Sozialversicherungsgerichts des Kantons Zürich vom 31. August 2012 betreffend Vergütung von Zahnbehandlungskosten,</w:t>
      </w:r>
    </w:p>
    <w:p>
      <w:r>
        <w:t>in Erwägung,</w:t>
      </w:r>
    </w:p>
    <w:p>
      <w:r>
        <w:t>dass die Vorinstanz die Sache zur ergänzenden Abklärung, neuer Beurteilung des Sachverhalts und neuen Entscheidung an das Amt für Zusatzleistungen zur AHV/IV zurückgewiesen hat,</w:t>
      </w:r>
    </w:p>
    <w:p>
      <w:r>
        <w:t>dass es sich beim angefochtenen Rückweisungsentscheid um einen - selbstständig eröffneten - Zwischenentscheid im Sinne von Art. 93 BGG handelt ( BGE 133 V 477 S. 481 f. E. 4.2 und 5.1),</w:t>
      </w:r>
    </w:p>
    <w:p>
      <w:r>
        <w:t>dass nach Art. 93 BGG die Beschwerde in öffentlich-rechtlichen Angelegenheiten gegen einen Zwischenentscheid nur zulässig ist, wenn der anzufechtende Entscheid einen nicht wieder gutzumachenden Nachteil bewirken kann (Abs. 1 lit. a) oder wenn die Gutheissung der Beschwerde sofort einen Endentscheid herbeiführen und damit einen bedeutenden Aufwand an Zeit und Kosten für ein weitläufiges Beweisverfahren ersparen würde (Abs. 1 lit. b),</w:t>
      </w:r>
    </w:p>
    <w:p>
      <w:r>
        <w:t>dass offensichtlich weder die eine noch die andere Eintretensvoraussetzung erfüllt ist, zumal der Zwischenentscheid gegebenenfalls im Rahmen einer Beschwerde gegen den Endentscheid anfechtbar sein wird ( Art. 93 Abs. 3 BGG ),</w:t>
      </w:r>
    </w:p>
    <w:p>
      <w:r>
        <w:t>dass die Eingabe des Beschwerdeführers auch keine entsprechenden Vorbringen enthält,</w:t>
      </w:r>
    </w:p>
    <w:p>
      <w:r>
        <w:t>dass wegen offensichtlicher Unzulässigkeit und mangels rechtsgenügender Begründung im Sinne von Art. 42 Abs. 2 Satz 1 BGG auf die Beschwerde nicht einzutreten ist ( Art. 108 Abs. 1 lit. a und b BGG ),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9. Oktober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Der Gerichtsschreiber: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