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9C_792/2018 vom 25. Januar 2019</w:t>
      </w:r>
    </w:p>
    <w:p>
      <w:r>
        <w:t>Bundesgericht, 2019-01-25, DE</w:t>
      </w:r>
    </w:p>
    <w:p>
      <w:r>
        <w:rPr>
          <w:b/>
        </w:rPr>
        <w:t xml:space="preserve">Quelle: </w:t>
      </w:r>
      <w:r>
        <w:t>https://mcp.opencaselaw.ch/entscheid/bger_9C_792_2018</w:t>
      </w:r>
    </w:p>
    <w:p>
      <w:r>
        <w:t>FR: TF 9C_792/2018 du 25 janvier 2019</w:t>
      </w:r>
    </w:p>
    <w:p>
      <w:r>
        <w:t>IT: TF 9C_792/2018 del 25 gennaio 2019</w:t>
      </w:r>
    </w:p>
    <w:p>
      <w:pPr>
        <w:pStyle w:val="Heading2"/>
      </w:pPr>
      <w:r>
        <w:t>Erwägungen</w:t>
      </w:r>
    </w:p>
    <w:p>
      <w:r>
        <w:rPr>
          <w:b/>
        </w:rPr>
        <w:t>E. 1</w:t>
      </w:r>
    </w:p>
    <w:p>
      <w:r>
        <w:t>Das kantonale Gericht ist davon ausgegangen, dass beim Erlass sowohl der Verfügung vom 9. Oktober 2014 als auch jener vom 15. November 2016 der Invaliditätsgrad der Versicherten höchstens 32 % betrug, und die weiteren Voraussetzungen für eine Rentenaufhebung (vgl. Art. 17 Abs. 1 ATSG ; vgl. auch lit. a Abs. 1 der Schlussbestimmungen der Änderung des IVG vom 18. März 2011 [6. IV-Revision, erstes Massnahmenpaket]) erfüllt waren. Folglich hat es die Rentenaufhebung im Grundsatz bestätigt. Es ist indessen der Auffassung, mit dem Rückweisungsentscheid vom 16. November 2015 sei auch der ursprüngliche Wirkungszeitpunkt der Aufhebung dahingefallen, und die Rente habe nach Art. 88bis Abs. 2 lit. a IVV (SR 831.201) nur für die Zukunft, d.h. auf Ende Dezember 2016, aufgehoben werden dürfen.</w:t>
      </w:r>
    </w:p>
    <w:p>
      <w:r>
        <w:rPr>
          <w:b/>
        </w:rPr>
        <w:t>E. 2.1</w:t>
      </w:r>
    </w:p>
    <w:p>
      <w:r>
        <w:t>Streitig und zu prüfen ist einzig der Zeitpunkt der Rentenaufhebung.</w:t>
      </w:r>
    </w:p>
    <w:p>
      <w:r>
        <w:rPr>
          <w:b/>
        </w:rPr>
        <w:t>E. 2.2</w:t>
      </w:r>
    </w:p>
    <w:p>
      <w:r>
        <w:t>In der Invalidenversicherung erfolgt die Aufhebung einer Rente in der Regel auf das Ende des der Zustellung der Verfügung folgenden Monats ( Art. 88bis Abs. 2 lit. a IVV ). Massgeblich ist jene Verwaltungsverfügung, mit welcher die Herabsetzung oder Aufhebung erstmals verfügt wurde. Muss infolge eines Rückweisungsentscheides eine neue Verfügung erlassen werden, kann damit die ursprüngliche Rentenaufhebung (samt Wirkungszeitpunkt) rückwirkend bestätigt werden ( BGE 129 V 370 ; 106 V 18 ; SVR 2011 IV Nr. 33 S. 96, 8C_451/2010 E. 3 und 4.4; Urteil 9C_567/2017 vom 21. November 2017 E. 2.2.3). Die vorinstanzliche Auffassung steht im Widerspruch zu dieser von der IV-Stelle angerufenen Rechtsprechung. Weder das kantonale Gericht noch die Beschwerdegegnerin befasst sich damit, und ein Grund für eine Praxisänderung (vgl. dazu BGE 141 II 297 E. 5.5.1; 140 V 538 E. 4.5 S. 541; je mit Hinweisen) ist nicht ersichtlich.</w:t>
      </w:r>
    </w:p>
    <w:p>
      <w:r>
        <w:t>Die Beschwerde ist offensichtlich begründet, weshalb sie im vereinfachten Verfahren nach Art. 109 Abs. 2 lit. b BGG gutgeheissen wird.</w:t>
      </w:r>
    </w:p>
    <w:p>
      <w:r>
        <w:rPr>
          <w:b/>
        </w:rPr>
        <w:t>E. 3</w:t>
      </w:r>
    </w:p>
    <w:p>
      <w:r>
        <w:t>Mit dem Entscheid in der Sache wird das Gesuch um aufschiebende Wirkung der Beschwerde gegenstandslos.</w:t>
      </w:r>
    </w:p>
    <w:p>
      <w:r>
        <w:rPr>
          <w:b/>
        </w:rPr>
        <w:t>E. 4</w:t>
      </w:r>
    </w:p>
    <w:p>
      <w:r>
        <w:t>Dem Ausgang des Verfahrens entsprechend hat die Beschwerdegegnerin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