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9C_791/2010 vom 10. November 2010</w:t>
      </w:r>
    </w:p>
    <w:p>
      <w:r>
        <w:t>Bundesgericht, 2010-11-10, DE</w:t>
      </w:r>
    </w:p>
    <w:p>
      <w:r>
        <w:rPr>
          <w:b/>
        </w:rPr>
        <w:t xml:space="preserve">Quelle: </w:t>
      </w:r>
      <w:r>
        <w:t>https://mcp.opencaselaw.ch/entscheid/bger_9C_791_2010</w:t>
      </w:r>
    </w:p>
    <w:p>
      <w:r>
        <w:t>FR: TF 9C_791/2010 du 10 novembre 2010</w:t>
      </w:r>
    </w:p>
    <w:p>
      <w:r>
        <w:t>IT: TF 9C_791/2010 del 10 novembre 2010</w:t>
      </w:r>
    </w:p>
    <w:p>
      <w:pPr>
        <w:pStyle w:val="Heading2"/>
      </w:pPr>
      <w:r>
        <w:t>Erwägungen</w:t>
      </w:r>
    </w:p>
    <w:p>
      <w:r>
        <w:rPr>
          <w:b/>
        </w:rPr>
        <w:t>E. 1</w:t>
      </w:r>
    </w:p>
    <w:p>
      <w:r>
        <w:t>Die Beschwerde in öffentlich-rechtlichen Angelegenheiten ( Art. 82 ff. BGG )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2.1</w:t>
      </w:r>
    </w:p>
    <w:p>
      <w:r>
        <w:t>Gemäss Art. 60 Abs. 1 ATSG (SR 830.1) ist die Beschwerde innerhalb von 30 Tagen nach der Eröffnung des Einspracheentscheides oder der Verfügung, gegen welche eine Einsprache ausgeschlossen ist, einzureichen. Diese Frist kann nicht erstreckt werden ( Art. 40 Abs. 1 ATSG ). Nach Art. 39 Abs. 1 in Verbindung mit Art. 60 Abs. 2 ATSG ist die 30-tägige Frist nur gewahrt, wenn die Beschwerde spätestens am letzten Tag der Frist beim erstinstanzlichen Versicherungsgericht eingereicht oder zu dessen Handen u.a. der Schweizerischen Post übergeben wird. Läuft die Frist unbenützt ab, so erwächst der Verwaltungsentscheid in (formelle) Rechtskraft mit der Wirkung, dass das erstinstanzliche Gericht auf eine verspätet eingereichte Beschwerde nicht eintreten darf (vgl. BGE 134 V 49 E. 2 S. 51).</w:t>
      </w:r>
    </w:p>
    <w:p>
      <w:r>
        <w:rPr>
          <w:b/>
        </w:rPr>
        <w:t>E. 2.2</w:t>
      </w:r>
    </w:p>
    <w:p>
      <w:r>
        <w:t>Eine Partei kann sich, wenn sie nicht persönlich zu handeln hat, jederzeit vertreten oder, soweit die Dringlichkeit einer Untersuchung es nicht ausschliesst, verbeiständen lassen ( Art. 37 Abs. 1 ATSG ). Im Sozialversicherungsrecht des Bundes gilt der in Art. 37 Abs. 3 ATSG ausdrücklich verankerte Grundsatz, dass der Versicherungsträger seine Mitteilungen an den Vertreter einer Partei zu richten hat, solange diese ihre Vollmacht nicht widerrufen hat. Dieser Grundsatz dient im Interesse der Rechtssicherheit dazu, allfällige Zweifel darüber zum Vornherein zu beseitigen, ob die Mitteilungen an die Partei selber oder an ihre Vertretung zu erfolgen haben, sowie um klarzustellen, welches die für einen Fristenlauf massgebenden Mitteilungen sein sollen ( BGE 99 V 177 E. 3 S. 182; SVR 2009 UV Nr. 16 S. 63, 8C_210/2008 E. 3.2 mit Hinweisen).</w:t>
      </w:r>
    </w:p>
    <w:p>
      <w:r>
        <w:t>Aus der mangelhaften Eröffnung einer Verfügung darf der betroffenen Person gemäss Art. 49 Abs. 3 letzter Satz ATSG kein Nachteil erwachsen, was ebenfalls einen bereits vor Inkrafttreten des Allgemeinen Teils im gesamten Bundessozialversicherungsrecht geltenden Grundsatz darstellt. Nach der Rechtsprechung ist nicht jede mangelhafte Eröffnung schlechthin nichtig mit der Konsequenz, dass die Rechtsmittelfrist nicht zu laufen beginnen könnte. Aus dem Grundsatz, dass den Parteien aus mangelhafter Eröffnung keine Nachteile erwachsen dürfen, folgt vielmehr, dass dem beabsichtigten Rechtsschutz schon dann Genüge getan wird, wenn eine objektiv mangelhafte Eröffnung trotz ihres Mangels ihren Zweck erreicht. Das bedeutet nichts anderes, als dass nach den konkreten Umständen des Einzelfalls zu prüfen ist, ob die betroffene Partei durch den gerügten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 BGE 132 I 249 E. 6 S. 253 f. ; 122 I 97 E. 3a/aa S. 99; 111 V 149 E. 4c S. 150; ARV 2002 S. 66, C 196/00; Urteil des Eidgenössischen Versicherungsgerichts I 868/02 vom 21. März 2003 E. 2; Yves Donzallaz, La notification en droit interne suisse, 2002, S. 565 f. Rz. 1200).</w:t>
      </w:r>
    </w:p>
    <w:p>
      <w:r>
        <w:rPr>
          <w:b/>
        </w:rPr>
        <w:t>E. 3</w:t>
      </w:r>
    </w:p>
    <w:p>
      <w:r>
        <w:t>Das kantonale Gericht hat in für das Bundesgericht verbindlicher Weise (vgl. E. 1 hievor) festgestellt, dass die Beschwerdeführerin am 7. Juni 2010 ihren Rechtsvertreter aufsuchte und ihn über den Eingang einer direkt an sie adressierten Mitteilung (in weitem Sinne verstanden) vonseiten der IV-Stelle in Kenntnis setzte. Das gleiche gilt für die vorinstanzliche Feststellung, wonach der "Nachversand" der rentenablehnenden Verfügung vom 6. Mai 2010 an den Anwalt am 8. Juni 2010 erfolgte und bei diesem am darauffolgenden Tag einging. Weiter ist unbestritten, dass der Rechtsvertreter sein Mandat auf der von der Versicherten am 7. Juni 2010 unterzeichneten Anwaltsvollmacht zuhanden der Vorinstanz mit "Verwaltungsgerichtsbeschwerde: IV-Verfügung vom 6. Mai 2010" umschrieb.</w:t>
      </w:r>
    </w:p>
    <w:p>
      <w:r>
        <w:rPr>
          <w:b/>
        </w:rPr>
        <w:t>E. 4.1</w:t>
      </w:r>
    </w:p>
    <w:p>
      <w:r>
        <w:t>Dass die Mandatsumschreibung vom 7. Juni 2010 (bereits) auf das Verfügungsdatum ("6. Mai 2010") Bezug nehmen konnte, erklärt der Rechtsvertreter in der Beschwerde ans Bundesgericht damit, dass er am 7. Juni 2010 (an welchem Datum er sein eingangs im Wortlaut zitiertes Schreiben an die Verwaltung zur Post gab und gleichzeitig per Fax verschickte) zusätzlich eine "kurze telefonische Abklärung" bei der IV-Stelle vorgenommen und dadurch vom Verfügungsdatum Kenntnis erlangt habe. Auf diese Sachverhaltsdarstellung kann letztinstanzlich im Hinblick auf das Novenverbot gemäss Art. 99 Abs. 1 BGG nicht abgestellt werden, weil das geltend gemachte Telefonat im vorausgehenden kantonalen Verfahren noch keine Erwähnung fand. Dennoch verbietet sich der vorinstanzliche Schluss (E. 6 des angefochtenen Entscheids), wonach aufgrund der blossen Erwähnung des Verfügungsdatums auf der Anwaltsvollmacht vom 7. Juni 2010 zu folgern sei, dass die Verfügung dem Rechtsvertreter bereits am letztgenannten Datum tatsächlich vorgelegen habe. Von der überwiegenden Wahrscheinlichkeit für eine solche Annahme kann angesichts der Aktenlage, wie sie sich dem kantonalen Gericht bot, keine Rede sein. Rechtsprechungsgemäss obliegt der Beweis der Tatsache sowie des Zeitpunktes der Zustellung von Verfügungen der Verwaltung, welche die entsprechende (objektive) Beweislast trägt. Wird die Tatsache oder das Datum der Zustellung uneingeschriebener Sendungen bestritten, muss daher im Zweifel auf die Darstellung des Empfängers abgestellt werden ( BGE 129 I 8 E. 2.2 S. 10; 124 V 400 E. 2a S. 402; 114 III 51 E. 3 S. 52; 103 V 63 E. 2a S. 65). Die Missachtung dieser im vorliegenden Zusammenhang sinngemäss heranzuziehenden Beweisregel durch das kantonale Gericht stellt eine Verletzung von Bundesrecht dar. Überdies führte die darauf beruhende einseitige Beweiswürdigung zu einer offensichtlich unrichtigen vorinstanzlichen Feststellung des rechtserheblichen Sachverhalts, was von Amtes wegen zu korrigieren ist ( Art. 105 Abs. 2 BGG ; vgl. auch Art. 97 Abs. 1 BGG ): Die unbestrittenermassen direkt der Versicherten statt ihrem Anwalt zugestellte und damit mangelhaft eröffnete Verfügung vom 6. Mai 2010 lag dem Rechtsvertreter gemäss seinen unwiderlegbaren Angaben erstmals am 9. Juni 2010 vor, nachdem ihn die IV-Stelle mit Postaufgabe vom 8. Juni 2010 mit einem Exemplar jener Verfügung bedient hatte. Die 30-tägige Beschwerdefrist begann somit am 10. Juni 2010 zu laufen ( Art. 38 Abs. 1 ATSG ) und endete am 9. Juli 2010. Die unbestrittenermassen am 8. Juli 2010 erhobene Beschwerde an das kantonale Gericht erfolgte somit innert Frist.</w:t>
      </w:r>
    </w:p>
    <w:p>
      <w:r>
        <w:rPr>
          <w:b/>
        </w:rPr>
        <w:t>E. 4.2</w:t>
      </w:r>
    </w:p>
    <w:p>
      <w:r>
        <w:t>Daran vermag - entgegen der vorinstanzlichen Auffassung (E. 7 des angefochtenen Entscheids) - nichts zu ändern, dass der Rechtsanwalt am 7. Juni 2010 schon aufgrund der seitens der Versicherten beigebrachten Stellungnahme der behandelnden Psychiaterin vom 3. Juni 2010 (und der darin erwähnten "décision") sowie mit Blick auf den seinerzeitigen Vorbescheid der IV-Stelle sowohl über die Tatsache einer zwischenzeitlich ergangenen Verwaltungsverfügung als auch über deren rentenablehnendes Dispositiv nicht im Zweifel sein konnte. Gemäss dargelegter Rechtsprechung (E. 2.2 hievor) ist nach den konkreten Umständen des Einzelfalls zu prüfen, ob einer vom hier zu beurteilenden Eröffungsmangel betroffenen Partei durch die direkte Zustellung der beschwerdefähigen Verfügung an ihre Adresse statt an den Rechtsvertreter tatsächlich ein Nachteil erwuchs. Der Kenntnis eines Vertreters über Bestand und Dispositiv der irrtümlicherweise direkt der versicherten Person eröffneten Verfügung kommt in diesem Zusammenhang ebenso wenig Bedeutung zu wie seinem (auf welche Quelle auch immer zurückgehendem) Wissen über das genaue Datum des Verwaltungsakts. Entscheidend ist, dass dem Rechtsvertreter die Begründung einer Verfügung im eigentlichen Wortlaut solange nicht zugänglich ist, als er Letztere (im Original oder in Kopie) nicht in Händen hält (oder wenigstens in Händen halten könnte). Erst ab diesem Zeitpunkt vermag er die volle Tragweite des Verwaltungsentscheids und die Möglichkeit eines Weiterzugs an die höhere Instanz abzuschätzen. Eine Verkürzung der daran anschliessenden Beschwerdefrist, welche im Sinne der erwähnten Rechtsprechung als auf den Eröffnungsmangel zurückzuführende Benachteiligung zu werten wäre, braucht sich der bevollmächtigte Rechtsvertreter jedenfalls nicht gefallen zu lassen (vgl. BGE 99 V 177 E. 3 in fine S. 182 unten).</w:t>
      </w:r>
    </w:p>
    <w:p>
      <w:r>
        <w:rPr>
          <w:b/>
        </w:rPr>
        <w:t>E. 4.3</w:t>
      </w:r>
    </w:p>
    <w:p>
      <w:r>
        <w:t>Die Vorinstanz wird über die fristgerecht erhobene Beschwerde materiell zu befinden haben.</w:t>
      </w:r>
    </w:p>
    <w:p>
      <w:r>
        <w:rPr>
          <w:b/>
        </w:rPr>
        <w:t>E. 5</w:t>
      </w:r>
    </w:p>
    <w:p>
      <w:r>
        <w:t>Die im Sinne von Art. 109 Abs. 2 lit. b BGG offensichtlich begründete Beschwerde ist im vereinfachten Verfahren ohne Durchführung eines Schriftenwechsels gutzuheissen.</w:t>
      </w:r>
    </w:p>
    <w:p>
      <w:r>
        <w:rPr>
          <w:b/>
        </w:rPr>
        <w:t>E. 6</w:t>
      </w:r>
    </w:p>
    <w:p>
      <w:r>
        <w:t>Mit Blick auf die besondere Verfahrenslage sind keine Gerichtskosten zu erheben (Art. 66 Abs. 1 zweiter Satz BGG). Hingegen hat die IV-Stelle der Beschwerdeführerin eine Parteientschädigung zu bezahlen ( Art. 68 Abs. 2 BGG ; vgl. BGE 123 V 156 ; SVR 1995 MV Nr. 4 S. 13, M 9/94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