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9C_790/2017 vom 24. Januar 2018</w:t>
      </w:r>
    </w:p>
    <w:p>
      <w:r>
        <w:t>Bundesgericht, 2018-01-24, DE</w:t>
      </w:r>
    </w:p>
    <w:p>
      <w:r>
        <w:rPr>
          <w:b/>
        </w:rPr>
        <w:t xml:space="preserve">Quelle: </w:t>
      </w:r>
      <w:r>
        <w:t>https://mcp.opencaselaw.ch/entscheid/bger_9C_790_2017</w:t>
      </w:r>
    </w:p>
    <w:p>
      <w:r>
        <w:t>FR: TF 9C_790/2017 du 24 janvier 2018</w:t>
      </w:r>
    </w:p>
    <w:p>
      <w:r>
        <w:t>IT: TF 9C_790/2017 del 24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Geht es um psychische Erkrankungen wie eine anhaltende somatoforme Schmerzstörung, ein damit vergleichbares psychosomatisches Leiden (vgl. BGE 140 V 8 E. 2.2.1.3 S. 13 f.) oder depressive Störungen leicht- bis mittelgradiger Natur (Urteile 8C_841/2016 und 8C_130/2017 vom 30. November 2017, beide zur Publikation vorgesehen),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(z.B.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2.1.2</w:t>
      </w:r>
    </w:p>
    <w:p>
      <w:r>
        <w:t>Im Hinblick auf die Beurteilung, ob ein psychisches Leiden invalidisierend wirkt, zählen als Tatsachenfeststellungen, welche das Bundesgericht nur eingeschränkt überprüfen kann,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Arbeitsunfähigkeit ( Art. 6 ATSG ) schliessen lassen ( BGE 141 V 281 E. 7 S. 309).</w:t>
      </w:r>
    </w:p>
    <w:p>
      <w:r>
        <w:rPr>
          <w:b/>
        </w:rPr>
        <w:t>E. 2.2</w:t>
      </w:r>
    </w:p>
    <w:p>
      <w:r>
        <w:t>Die Vorinstanz hat gestützt auf das BEGAZ-Gutachten vom 10. August 2015 festgestellt, dass aus somatischer und neuropsychologischer Sicht leidensangepasste Tätigkeiten vollzeitig zumutbar seien und ein psychisches Leiden im Vordergrund stehe. Nach einlässlicher Prüfung der Indikatoren gemäss BGE 141 V 281 auf der Grundlage der Angaben im BEGAZ-Gutachten ist sie zum Schluss gekommen, dass auf die Arbeitsfähigkeitsschätzung des psychiatrischen Experten, der eine Einschränkung von 70 % attestiert hatte, nicht abgestellt werden könne. Es sei nicht mit überwiegender Wahrscheinlichkeit nachgewiesen, dass der festgestellte psychische Gesundheitsschaden funktionelle Auswirkungen habe. Folglich hat sie in der Annahme, dass der Versicherte ein rentenausschliessendes Einkommen erzielen könne, einen Rentenanspruch verneint.</w:t>
      </w:r>
    </w:p>
    <w:p>
      <w:r>
        <w:rPr>
          <w:b/>
        </w:rPr>
        <w:t>E. 2.3</w:t>
      </w:r>
    </w:p>
    <w:p>
      <w:r>
        <w:t>Die vorinstanzliche Abhandlung des Beweisthemas entspricht den Vorgaben von BGE 141 V 281 und ist damit rechtlich korrekt. Die in diesem Kontext erfolgten Beweiswürdigungen und Tatsachenfeststellungen sind auch nicht offensichtlich unrichtig (d.h. unhaltbar, willkürlich: BGE 135 II 145 E. 8.1 S. 153; Urteil 9C_607/2012 vom 17. April 2013 E. 5.2) und daher für das Bundesgericht verbindlich (E. 1). Daran ändert nichts, dass der im BEGAZ-Gutachten diagnostizierten rezidivierenden depressiven Störung, zurzeit leichtgradige Episode (ICD-10: F33.0), nicht von vornherein eine invalidisierende Wirkung abgesprochen werden kann (Urteil 8C_841/2016 vom 30. November 2017 E. 4.5) und sie daher als rechtlich bedeutsame Komorbidität (im Sinne von BGE 141 V 281 E. 4.3.1.3 S. 300 f.) in Betracht fällt (vgl. Urteil 8C_130/2017 vom 30. November 2017 E. 8.1). Die Beschwerde vermag keinen Rechtsfehler aufzuzeigen; sie erschöpft sich in appellatorischer Kritik am angefochtenen Entscheid und in allgemeinen rechtlichen Ausführungen ohne Bezug zum konkreten Fall.</w:t>
      </w:r>
    </w:p>
    <w:p>
      <w:r>
        <w:rPr>
          <w:b/>
        </w:rPr>
        <w:t>E. 2.4</w:t>
      </w:r>
    </w:p>
    <w:p>
      <w:r>
        <w:t>Da die Beschwerde offensichtlich unbegründet ist, wird sie im Verfahren nach Art. 109 Abs. 2 lit. a BGG mit summarischer Begründung und unter Hinweis auf den kantonalen Gerichtsentscheid (Abs. 3) erledigt.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