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9C_790/2010 vom 8. Juli 2011</w:t>
      </w:r>
    </w:p>
    <w:p>
      <w:r>
        <w:t>Bundesgericht, 2011-07-08, FR</w:t>
      </w:r>
    </w:p>
    <w:p>
      <w:r>
        <w:rPr>
          <w:b/>
        </w:rPr>
        <w:t xml:space="preserve">Quelle: </w:t>
      </w:r>
      <w:r>
        <w:t>https://mcp.opencaselaw.ch/entscheid/bger_9C_790_2010</w:t>
      </w:r>
    </w:p>
    <w:p>
      <w:r>
        <w:t>FR: TF 9C_790/2010 du 8 juillet 2011</w:t>
      </w:r>
    </w:p>
    <w:p>
      <w:r>
        <w:t>IT: TF 9C_790/2010 del 8 luglio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premier lieu, la recourante reproche à la juridiction cantonale d'avoir appliqué au cas d'espèce la méthode mixte d'évaluation de l'invalidité en lieu et place de la méthode ordinaire de comparaison des revenus. Elle explique qu'elle aurait exercé une activité à plein temps si elle n'avait pas été atteinte dans sa santé. Le fait qu'elle ne travaillait à l'époque qu'à 80 % était la conséquence des différents problèmes de santé qui l'avaient touchée à compter du début des années 90. Si son état de santé le lui avait permis, il est évident qu'au départ de son fils du foyer familial, elle aurait repris une activité professionnelle à plein temps dans le but d'augmenter ses modestes revenus, comme elle l'avait d'ailleurs fait avant la naissance de son enfant.</w:t>
      </w:r>
    </w:p>
    <w:p>
      <w:r>
        <w:rPr>
          <w:b/>
        </w:rPr>
        <w:t>E. 2.2</w:t>
      </w:r>
    </w:p>
    <w:p>
      <w:r>
        <w:t>En second lieu, quand bien même il y aurait lieu d'appliquer la méthode mixte d'évaluation de l'invalidité, la solution obtenue dans le cas d'espèce, en tant qu'elle nie un droit à des prestations de l'assurance-invalidité à une personne assurée présentant une incapacité de travail de 50 % et des empêchements dans l'accomplissement des travaux habituels à raison de 25 %, serait choquante et heurterait les sentiments d'équité et de justice. Telle qu'elle a été décrite par la jurisprudence, la méthode mixte d'évaluation procéderait à une double pondération des effets du handicap sur la capacité de travail de la personne assurée, une première fois dans le cadre du calcul du degré d'invalidité de la personne exerçant une activité lucrative, une seconde fois dans le cadre de l'évaluation globale de l'invalidité. Pour arriver à une solution satisfaisante, il conviendrait de ne pondérer qu'une seule fois les effets du handicap sur la capacité de travail. A l'heure actuelle, la méthode mixte aurait pour effet de pénaliser les personnes travaillant à temps partiel, puisqu'elle les priverait de l'accès aux prestations de l'assurance-invalidité. De cette manière, le Tribunal fédéral prescrirait implicitement aux assurés l'adoption d'un mode de vie prédéfini, ce qui constituerait une atteinte au droit au respect de la vie privée au sens de l' art. 13 al. 1 Cst. Qui plus est, dans la mesure où elle ne s'appliquerait quasi exclusivement qu'aux femmes, la méthode mixte d'évaluation serait - indirectement - discriminatoire et violerait de ce fait l' art. 8 al. 3 Cst.</w:t>
      </w:r>
    </w:p>
    <w:p>
      <w:r>
        <w:rPr>
          <w:b/>
        </w:rPr>
        <w:t>E. 3.1</w:t>
      </w:r>
    </w:p>
    <w:p>
      <w:r>
        <w:t>Un assuré a droit à une rente s'il est invalide à quarante pour cent au moins ( art. 28 al. 2 LAI ).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3.1.1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 art. 28a al. 1 LAI en corrélation avec l' art. 16 LPGA ) et ses sous-variantes, la méthode de comparaison en pour-cent ( ATF 114 V 310 consid. 3a p. 313 et les références) et la méthode extraordinaire de comparaison des revenus ( ATF 128 V 29 ; voir également arrêt 9C_236/2009 du 7 octobre 2009 consid. 3 et 4, in SVR 2010 IV n° 11 p. 35).</w:t>
      </w:r>
    </w:p>
    <w:p>
      <w:r>
        <w:rPr>
          <w:b/>
        </w:rPr>
        <w:t>E. 3.1.2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 art. 28a al. 2 LAI en corrélation avec les art. 8 al. 3 LPGA et 27 RAI). Par travaux habituels, il faut notamment entendre l'activité usuelle dans le ménage, l'éducation des enfants ainsi que toute activité artistique ou d'utilité publique (cf. art. 27 RAI ).</w:t>
      </w:r>
    </w:p>
    <w:p>
      <w:r>
        <w:rPr>
          <w:b/>
        </w:rPr>
        <w:t>E. 3.1.3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 art. 28a al. 3 LAI en corrélation avec l' art. 27bis RAI ; voir par ailleurs ATF 131 V 51 consid. 5.1.2 p. 53).</w:t>
      </w:r>
    </w:p>
    <w:p>
      <w:r>
        <w:rPr>
          <w:b/>
        </w:rPr>
        <w:t>E. 3.2</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117 V 194 consid. 3b p. 194; voir également ATF 133 V 504 consid. 3.3 p. 507, 131 V 51 consid. 5.1.2 p. 53 et 125 V 146 consid. 5c/bb p. 157; arrêts 9C_49/2008 du 28 juillet 2008 consid. 3.1-3.4 et I 156/04 du 13 décembre 2005 consid. 5.1.2).</w:t>
      </w:r>
    </w:p>
    <w:p>
      <w:r>
        <w:rPr>
          <w:b/>
        </w:rPr>
        <w:t>E. 3.3</w:t>
      </w:r>
    </w:p>
    <w:p>
      <w:r>
        <w:t>La juridiction cantonale a considéré qu'il existait suffisamment d'indices établissant avec une vraisemblance prépondérante que la recourante travaillait à 80 %, non pas par obligation, mais par choix. Au début de l'incapacité de travail alléguée, elle avait exercé durant près de 16 ans une activité à 80 %, sans que cela ne soit justifié par des obligations familiales. Il ne ressortait par ailleurs d'aucune pièce médicale que l'état de santé de la recourante la contraignait exclusivement à exercer une activité à temps partiel limitée à 80 %. Dans un curriculum vitae établi le 2 novembre 1992, elle a indiqué souhaiter retrouver un poste lui permettant de maintenir sa capacité de gain; par la suite, jusqu'à ce que le projet de décision lui soit communiqué, elle n'a jamais fait mention de son intention de reprendre un emploi à plein temps.</w:t>
      </w:r>
    </w:p>
    <w:p>
      <w:r>
        <w:rPr>
          <w:b/>
        </w:rPr>
        <w:t>E. 3.4</w:t>
      </w:r>
    </w:p>
    <w:p>
      <w:r>
        <w:t>En l'occurrence, la recourante ne parvient pas à établir le caractère manifestement inexact, voire insoutenable, du raisonnement qui a conduit la juridiction cantonale à conclure, dans le cas particulier, à l'application de la méthode mixte d'évaluation de l'invalidité. A l'argumentation factuelle de celle-ci, la recourante oppose des considérations tirées de l'expérience générale de la vie. Cela étant, celles-ci semblent contredites par les pièces du dossier. Il en ressort que la recourante travaille à temps partiel depuis l'année 1979. Si un tel choix pouvait s'expliquer à l'époque par la volonté de s'occuper de son enfant (né en 1973), cette justification n'avait plus guère de fondement à compter de la fin des années 1980. Certes, les premiers problèmes de santé sont apparus au cours de l'année 1989 et ont motivé un changement d'activité à la fin de l'année 1992. Jusqu'au dépôt le 19 décembre 2008 de sa demande de prestations de l'assurance-invalidité, la recourante n'a toutefois entrepris aucune démarche dans le but de trouver une activité à 100 % adaptée à ses limitations fonctionnelles et semble bien plutôt s'être contentée de la situation.</w:t>
      </w:r>
    </w:p>
    <w:p>
      <w:r>
        <w:rPr>
          <w:b/>
        </w:rPr>
        <w:t>E. 4.1</w:t>
      </w:r>
    </w:p>
    <w:p>
      <w:r>
        <w:t>Lorsque la méthode mixte d'évaluation de l'invalidité est applicable, l'invalidité des assurés pour la part qu'ils consacrent à leur activité lucrative doit être évaluée selon la méthode générale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4.2</w:t>
      </w:r>
    </w:p>
    <w:p>
      <w:r>
        <w:t>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130 V 61 ; 128 V 93 ; arrêt I 246/05 du 30 octobre 2007 consid. 5.2.1 et les références, in SVR 2008 IV n° 34 p. 111; voir également ATF 133 V 504 consid. 4 p. 508).</w:t>
      </w:r>
    </w:p>
    <w:p>
      <w:r>
        <w:rPr>
          <w:b/>
        </w:rPr>
        <w:t>E. 4.3</w:t>
      </w:r>
    </w:p>
    <w:p>
      <w:r>
        <w:t>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 ATF 134 V 9 ; voir également arrêts I 156/04 du 13 décembre 2005 consid. 6.2, in SVR 2006 IV n° 42 p. 151, et 9C_713/2007 du 8 août 2008 consid. 4).</w:t>
      </w:r>
    </w:p>
    <w:p>
      <w:r>
        <w:rPr>
          <w:b/>
        </w:rPr>
        <w:t>E. 5.1</w:t>
      </w:r>
    </w:p>
    <w:p>
      <w:r>
        <w:t>La doctrine s'est toujours montrée très critique à l'égard de la jurisprudence du Tribunal fédéral concernant la méthode mixte d'évaluation de l'invalidité (entres autres auteurs: HANS-JAKOB MOSIMANN, Teilerwerbstätige in der Invalidenversicherung, RSAS 2010 p. 271 ss; JEAN-LOUIS DUC, Du droit à une rente de l'AI des personnes n'exerçant une activité lucrative qu'à temps partiel. Le Tribunal fédéral des assurances ignore-t-il la loi?, PJA 2005 p. 1423 ss; EDGAR IMHOF , Die Bedeutung menschenrechtlicher Diskriminierungsverbote für die Soziale Sicherheit, in Jusletter du 7 février 2005, n. 21 ss; MARGRITH BIGLER-EGGENBERGER, Et si la justice ôtait son bandeau? La jurisprudence du Tribunal fédéral sur l'égalité entre femmes et hommes, 2003, p. 227 ss; FRANZ SCHLAURI, Das Rechnen mit Arbeitsunfähigkeiten in Beruf und Hauhalt in der gemischten Methode der Invaliditätsbemessung, in René Schaffhauser/Franz Schlauri, Schmerz- und Arbeitsunfähigkeit, 2003, p. 307 ss; UELI KIESER, Die Ermittlung des Invaliditätsgrades von Teilerwerbstätigen, in René Schaffhauser/Franz Schlauri, Sozialversicherungsrechtstagung 2002, p. 9 ss; KATERINA BAUMANN/MARGARETA LAUTERBURG, Knappes Geld - ungleich verteilt: Gleichstellungsdefizite in der Invalidenversicherung, 2001, p. 76 ss; SUSANNE LEUZINGER-NAEF, Sozialversicherungsrechtliche Probleme flexibilisierter Arbeitsverhältnisse, et ALEXANDRA RUMO-JUNGO, Ausgewählte Gerichtsentscheide aus dem Sozialversicherungsrecht im Zusammenhang mit Teilzeitarbeitsverhältnissen, toutes deux in Erwin Murer, Neue Erwerbsformen - veraltetes Arbeits- und Sozialversicherungsrecht ?, 1996, p. 91 ss et 187 ss; PETER STEIN, Die Invalidität, Weg oder Irrweg von Gesetzgebung und Praxis, in Sozialversicherungsrecht im Wandel: Festschrift 75 Jahre Eidgenössisches Versicherungsgericht, 1992, p. 441 s.). Elle estime en substance que le degré d'invalidité calculé selon la méthode mixte d'évaluation aboutit à un résultat peu satisfaisant, car souvent inférieur à celui obtenu avec l'aide d'une autre méthode. Dans la mesure où ce seraient les femmes qui en pâtiraient principalement, la méthode mixte d'évaluation serait par conséquent discriminatoire.</w:t>
      </w:r>
    </w:p>
    <w:p>
      <w:r>
        <w:rPr>
          <w:b/>
        </w:rPr>
        <w:t>E. 5.2</w:t>
      </w:r>
    </w:p>
    <w:p>
      <w:r>
        <w:t>Le Message du Conseil fédéral du 24 octobre 1958 relatif à un projet de loi sur l'assurance-invalidité ainsi qu'à un projet de loi modifiant celle sur l'assurance-vieillesse et survivants (FF 1958 II 1161 ss) expose, au chapitre qu'il consacre à la notion d'« incapacité de gain », (FF 1958 II 1185 s.) les principes suivants:</w:t>
      </w:r>
    </w:p>
    <w:p>
      <w:r>
        <w:t>a. L'assurance-invalidité a pour but d'atténuer les conséquences économiques de l'invalidité et doit, par conséquent, accorder une importance primordiale à la diminution de la capacité de gain. L'assuré qui, par suite d'une atteinte à la santé, n'est plus en mesure de gagner sa vie entièrement ou partiellement par son travail doit bénéficier de la protection de l'assurance. On tiendra compte par conséquent de tout travail qui peut être raisonnablement exigé de l'assuré en considération de son activité antérieure et de ses conditions personnelles, et non seulement du travail qu'il pourrait continuer à fournir dans la profession qu'il exerçait auparavant.</w:t>
      </w:r>
    </w:p>
    <w:p>
      <w:r>
        <w:t>En revanche, un dommage qui n'entraîne pas de diminution de la capacité de gain, comme c'est souvent le cas des atteintes d'ordre esthétique par exemple, ne peut être considéré comme une forme d'invalidité. Sans doute a-t-il été proposé, dans un avis, de prévoir le droit à une prestation également en cas de simple atteinte à l'intégrité physique ou mentale de l'assuré. A notre avis toutefois, le but d'une assurance sociale ne saurait être de verser un dédommagement pour des déficiences physiques ou mentales qui ne diminuent en rien la capacité de gain de l'assuré.</w:t>
      </w:r>
    </w:p>
    <w:p>
      <w:r>
        <w:t>Il convient de relever en particulier que, dans l'assurance-invalidité, seule l'incapacité de gain causée par une atteinte à la santé peut être prise en considération. Cette incapacité doit être distinguée de l'impossibilité due à des facteurs extérieurs (au chômage par exemple). C'est de cette manière seulement que l'estimation du degré d'invalidité pourra se fonder objectivement, indépendamment des fluctuations du marché du travail et du comportement de l'assuré. Une distinction nette entre l'assurance-invalidité et l'assurance-chômage, telle qu'elle est suggérée dans plusieurs avis n'est possible que si, dans l'assurance-invalidité, on s'en tient au seul critère suivant: l'assuré serait-il capable de gagner sa vie grâce aux forces physiques et mentales dont il dispose, si la situation sur le marché du travail est normale.</w:t>
      </w:r>
    </w:p>
    <w:p>
      <w:r>
        <w:t>b. Du moment que l'assurance-invalidité sera obligatoire pour l'ensemble de la population de la Suisse, elle englobera, comme l'assurance-vieillesse et survivants, les personnes sans activité lucrative aussi bien que celles qui exercent une telle activité. Nous nous rallions à l'opinion de la commission des experts (cf. rapport des experts p. 26 et 27, et p. 122 s.), selon laquelle, même pour les personnes sans activité lucrative, on peut d'une manière générale, se fonder sur la notion d'incapacité de gain. Nous ne voyons en effet pas pour quelles raisons on appliquerait un autre critère aux retraités, aux rentiers et autres.</w:t>
      </w:r>
    </w:p>
    <w:p>
      <w:r>
        <w:t>En revanche, on ne saurait, en règle générale, exiger des maîtresses de maison et des membres de communautés religieuses qui, avant d'être atteints dans leur santé, n'exerçaient pas d'activité lucrative, qu'ils se mettent à exercer une telle activité. Cela serait contraire aux intérêts de la vie de famille et au caractère particulier des communautés religieuses. C'est pourquoi le critère de la capacité de gain ne peut pas être utilisé pour ces catégories d'assurés. La commission d'experts a proposé de se fonder, dans ces cas, sur l'incapacité de l'assuré de continuer à vaquer à ses occupations habituelles (incapacité spécifique de travail, cf. rapport des experts p. 115).</w:t>
      </w:r>
    </w:p>
    <w:p>
      <w:r>
        <w:rPr>
          <w:b/>
        </w:rPr>
        <w:t>E. 5.3</w:t>
      </w:r>
    </w:p>
    <w:p>
      <w:r>
        <w:t>Tel que défini à la base, le risque « invalidité » comporte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(cf. KIESER, op. cit., p. 35).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w:t>
      </w:r>
    </w:p>
    <w:p>
      <w:r>
        <w:rPr>
          <w:b/>
        </w:rPr>
        <w:t>E. 5.4</w:t>
      </w:r>
    </w:p>
    <w:p>
      <w:r>
        <w:t>Dans un premier temps, le Tribunal fédéral des assurances a jugé qu'il n'était pas possible de considérer un assuré comme étant partiellement actif et non actif. Au contraire, il fallait distinguer nettement ces deux catégories; dans chaque cas, les organes de l'assurance-invalidité devaient déterminer si l'assuré qui prétendait à l'octroi d'une rente devait être considéré comme exerçant ou comme n'exerçant pas d'activité lucrative (principe de la prépondérance; ATFA 1964 p. 258). Par la suite, la jurisprudence a considéré que l'exercice d'une activité lucrative accessoire d'une personne assurée, occupée essentiellement aux tâches ménagères et à l'éducation de ses enfants, devait, lors de l'évaluation de son invalidité, être prise en compte dans le cadre de la méthode spécifique d'évaluation. Tel était le cas lorsqu'il y avait lieu d'admettre que le revenu que la personne assurée aurait réalisé si elle n'était pas devenue invalide, aurait représenté une part substantielle du revenu global du ménage ( ATF 98 V 259 consid. 2 p. 261). Malgré cette précision de jurisprudence, le Conseil fédéral a estimé que la règle définie par le Tribunal fédéral des assurances était difficile à appliquer dans la pratique et pouvait parfois aboutir à des résultats peu satisfaisants. Fort de ce constat, il a introduit à compter du 1er janvier 1977 l' art. 27bis RAI (RO 1976 II 2654). Selon la volonté du Conseil fédéral, l'évaluation de l'invalidité ne devait se faire désormais d'après le principe de la comparaison des revenus que si la personne assurée consacrait tout son temps à une activité lucrative. Chez les ménagères qui exerçaient une telle activité pendant une partie de leur temps, l'empêchement subi dans les travaux du ménage et dans l'activité lucrative devait être pris en considération d'une manière adéquate, et l'invalidité évaluée d'après la réduction des aptitudes dans chaque domaine (méthode mixte d'évaluation de l'invalidité; RCC 1977 p. 18 et 1978 p. 407). Le Tribunal fédéral des assurances a reconnu que cette réglementation était conforme à la loi et, partant, fixé la méthode mixte dans l'ordre juridique suisse (arrêt I 350/77 du 28 septembre 1978 consid. 1b, in RCC 1979 p. 276; confirmé in ATF 125 V 146 ). Le législateur a définitivement inscrit dans la loi la méthode mixte d'évaluation de l'invalidité le 1er janvier 2004 ( art. 28 al. 2ter LAI [RO 2003 3852]; aujourd'hui: art. 28a al. 3 LAI [RO 2007 5147]; sur l'origine de la méthode mixte d'évaluation, voir notamment SCHLAURI, op. cit., p. 309 s. et KIESER, op. cit., p. 25 s.).</w:t>
      </w:r>
    </w:p>
    <w:p>
      <w:r>
        <w:rPr>
          <w:b/>
        </w:rPr>
        <w:t>E. 5.5</w:t>
      </w:r>
    </w:p>
    <w:p>
      <w:r>
        <w:t>Depuis son apparition, la méthode mixte d'évaluation de l'invalidité n'a pas été remise en question dans son principe. Font en revanche l'objet d'une intense controverse, hier comme aujourd'hui, les modalités d'application de cette méthode, en particulier la détermination du degré d'invalidité pour la part que la personne assurée consacre à son activité lucrative (cf. supra consid. 5.1).</w:t>
      </w:r>
    </w:p>
    <w:p>
      <w:r>
        <w:rPr>
          <w:b/>
        </w:rPr>
        <w:t>E. 5.5.1</w:t>
      </w:r>
    </w:p>
    <w:p>
      <w:r>
        <w:t>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 Meistbegünstigungsklausel »). Chaque régime a pour but d'appréhender, de façon différenciée et spécifique, une situation de fait particulière: celle de l'assuré exerçant une activité lucrative à temps complet, celle de l'assuré exerçant une activité lucrative à temps partiel et celle de l'assuré n'exerçant pas d'activité lucrative.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chaque méthode doit être examinée pour elle-même selon les critères définis par la loi (voir arrêt I 156/04 du 13 décembre 2005 consid. 5.1.1, in SVR 2006 IV n° 42 p. 151).</w:t>
      </w:r>
    </w:p>
    <w:p>
      <w:r>
        <w:rPr>
          <w:b/>
        </w:rPr>
        <w:t>E. 5.5.2</w:t>
      </w:r>
    </w:p>
    <w:p>
      <w:r>
        <w:t>Lorsqu'une personne assurée décide de ne travailler qu'à temps partiel, elle fait un choix qui relève intrinsèquement de sa responsabilité personnelle directe; comme pour tout choix, il lui appartient de tenir compte des conséquences positives et négatives de ce choix.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(cf. infra consid. 6.1.2).</w:t>
      </w:r>
    </w:p>
    <w:p>
      <w:r>
        <w:rPr>
          <w:b/>
        </w:rPr>
        <w:t>E. 5.5.3</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Compte tenu de la dualité méthodologique imposée par le législateur à l' art. 28a al. 3 LAI ,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 ATF 134 V 9 ). S'agissant de la part que la personne assurée consacre à l'exercice d'une activité lucrative, il convient, au moment de l'évaluation du degré d'invalidité, de ne pas perdre de vue l'objectif principal de l'assurance-invalidité, tel qu'il ressort du message du Conseil fédéral (cf. supra consid. 5.2),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9C_49/2008 du 28 juillet 2008 consid. 3.3, in FamPra.ch 2010 p. 134). C'est pour ces motifs qu'il se justifie de prendre en compte, pour calculer le revenu sans invalidité, le salaire effectif réalisé par la personne assurée avant la survenance de l'invalidité (voir également ATF 131 V 51 consid. 5.1.2 p. 53).</w:t>
      </w:r>
    </w:p>
    <w:p>
      <w:r>
        <w:rPr>
          <w:b/>
        </w:rPr>
        <w:t>E. 5.5.4</w:t>
      </w:r>
    </w:p>
    <w:p>
      <w:r>
        <w:t>Pour sa part, la méthode généralement préconisée par la doctrine - et que la recourante suggère d'appliquer à son cas - demande à ce que le revenu sans invalidité soit calculé sur la base d'un temps plein (DUC, op. cit., p. 1425; SCHLAURI, op. cit., p. 334 s.; BAUMANN/LAUTERBURG, op. cit., p. 87 s.; LEUZINGER-NAEF, op. cit., p. 131; RUMO-JUNGO, op. cit., p. 210). Elle implique cependant la prise en compte et l'indemnisation d'un dommage virtuel et fictif, ce qui, on l'a vu, est contraire au but et à l'esprit de l'assurance-invalidité et à la notion d'assurance. L'application de cette méthode corrigée peut même dans certains cas conduire à placer la personne assurée dans une situation économique plus favorable que celle qu'elle connaissait avant la survenance de l'atteinte à la santé, comme l'illustre l'exemple suivant. Dans le cas d'une personne assurée, qui travaillait à mi-temps avant la survenance de l'atteinte à la santé, dispose d'une capacité de travail de 50 % dans son activité lucrative et connaît un empêchement de 35 % dans ses activités habituelles, l'évaluation de l'invalidité, selon la solution proposée par la doctrine, aboutit à un degré d'invalidité de 42,5 % ([0,5 x 50] + [0,5 x 35]), soit à l'ouverture d'un droit à un quart de rente, alors même que la personne assurée est en mesure de réaliser un gain identique à celui qu'elle touchait avant la survenance de l'atteinte à la santé et qu'elle n'aurait pas droit à une rente si la méthode spécifique était appliquée isolément.</w:t>
      </w:r>
    </w:p>
    <w:p>
      <w:r>
        <w:rPr>
          <w:b/>
        </w:rPr>
        <w:t>E. 5.5.5</w:t>
      </w:r>
    </w:p>
    <w:p>
      <w:r>
        <w:t>Sur le vu des explications qui précèdent, il convient de rejeter l'argumentation selon laquelle l'application de cette méthode aurait pour conséquence de procéder à une double pondération du degré d'invalidité relatif à la part consacrée à l'activité lucrative. Il s'agit dans une première étape de calculer le degré d'invalidité - effectif - de la personne assurée, dans le respect du but et de l'esprit de l'assurance-invalidité, puis seulement dans une seconde étape de pondérer les champs d'activité.</w:t>
      </w:r>
    </w:p>
    <w:p>
      <w:r>
        <w:rPr>
          <w:b/>
        </w:rPr>
        <w:t>E. 6</w:t>
      </w:r>
    </w:p>
    <w:p>
      <w:r>
        <w:t>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Elle violerait ainsi les art. 8 et 13 al. 1 Cst.</w:t>
      </w:r>
    </w:p>
    <w:p>
      <w:r>
        <w:rPr>
          <w:b/>
        </w:rPr>
        <w:t>E. 6.1.1</w:t>
      </w:r>
    </w:p>
    <w:p>
      <w:r>
        <w:t>L' art. 13 al. 1 Cst. , dont la portée est similaire à celle de l' art. 8 par. 1 CEDH ,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privée protège notamment l'identité, le respect de la sphère intime et secrète, l'honneur et la réputation d'une personne, ainsi que ses relations avec les autres, que ce soient ses relations de couple - marié ou non, de sexe différent ou de même sexe - ou ses relations avec son entourage. Le droit au respect de la vie familiale protège cette dernière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(PASCAL MAHON, in Petit commentaire de la Constitution fédérale de la Confédération suisse du 18 avril 1999, 2003, n. 5 et 7 s. ad art. 13 Cst. ). En d'autres mots, le droit au respect de la vie privée et familiale garantit à l'individu un espace de liberté dans lequel il peut se développer et se réaliser, en disposant librement de sa personne et de son mode de vie ( ATF 133 I 58 consid. 6.1 p. 66).</w:t>
      </w:r>
    </w:p>
    <w:p>
      <w:r>
        <w:rPr>
          <w:b/>
        </w:rPr>
        <w:t>E. 6.1.2</w:t>
      </w:r>
    </w:p>
    <w:p>
      <w:r>
        <w:t>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n'est qu'un facteur parmi d'autres entrant en ligne de compte dans la pondération des intérêts conduisant au choix de la personne assurée. Certes, un Etat social moderne se doit de couvrir les risques sociaux principaux, afin de permettre aux individus de se libérer du souci permanent de leur avenir. Ce devoir n'est toutefois pas sans limite. Il n'existe pas de principe général selon lequel l'Etat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l'Etat sont définis par le législateur, en fonction des objectifs de politique sociale que celui-ci s'est fixé. Le droit au respect de la vie privée et familiale ne saurait à cet égard fonder un droit direct à des prestations positives de l'Etat susceptibles notamment de favoriser l'exercice de la vie familiale ( ATF 134 I 105 consid. 6 p. 109; 120 V 1 consid. 2a p. 4;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 art. 190 Cst. qui prévoit que les lois fédérales et le droit international s'imposent au Tribunal fédéral et aux autres autorités appliquant la loi ( ATF 134 I 105 consid. 6 p. 110).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(voir arrêt I 156/04 du 13 décembre 2005 consid. 5.2, in SVR 2006 IV n° 42 p. 151). La méthode mixte d'évaluation de l'invalidité ne viole par conséquent pas les art. 13 al. 1 Cst. ou 8 par. 1 CEDH.</w:t>
      </w:r>
    </w:p>
    <w:p>
      <w:r>
        <w:rPr>
          <w:b/>
        </w:rPr>
        <w:t>E. 6.2.1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Au principe d'égalité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135 I 49 consid. 4.1 p. 53 et les références).</w:t>
      </w:r>
    </w:p>
    <w:p>
      <w:r>
        <w:rPr>
          <w:b/>
        </w:rPr>
        <w:t>E. 6.2.2</w:t>
      </w:r>
    </w:p>
    <w:p>
      <w:r>
        <w:t>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 type de famille, T 03.02.01.16 [2010, 4e trimestre]). Le travail à temps 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A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ss; BUREAU FÉDÉRAL DE L'ÉGALITÉ ENTRE FEMMES ET HOMMES, Vers l'égalité entre femmes et hommes, Situation et évolution, 2008, p. 10 ss; voir également PATRICK BOLLÉ, Le travail à temps partiel: liberté ou piège?, in Revue internationale du Travail 1997 p. 609 ss).</w:t>
      </w:r>
    </w:p>
    <w:p>
      <w:r>
        <w:rPr>
          <w:b/>
        </w:rPr>
        <w:t>E. 6.2.3</w:t>
      </w:r>
    </w:p>
    <w:p>
      <w:r>
        <w:t>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(arrêt I 156/04 du 13 décembre 2005 consid. 5.2, in SVR 2006 IV n° 42 p. 151). La méthode mixte d'évaluation de l'invalidité ne viole par conséquent pas l' art. 8 Cst.</w:t>
      </w:r>
    </w:p>
    <w:p>
      <w:r>
        <w:rPr>
          <w:b/>
        </w:rPr>
        <w:t>E. 6.3</w:t>
      </w:r>
    </w:p>
    <w:p>
      <w:r>
        <w:t>Pour le surplus, on relèvera qu'il n'y a pas lieu de se demander si l'application de la méthode mixte d'évaluation viole le principe de non-discrimination prévu à l' art. 14 CEDH - dont les garanties n'ont d'ailleurs pas de portée indépendante par rapport à l' art. 8 Cst. ( ATF 123 II 472 consid. 4c p. 477) - en lien avec une autre garantie conventionnelle. Au regard de sa jurisprudence, la Cour européenne des droits de l'homme considère que le droit à une prestation sociale - dans la mesure où elle est prévue par la législation applicable - est un droit patrimonial au sens de l'art. 1 du Protocole n° 1 CEDH du 20 mars 1952 (arrêt de la Cour européenne des droits de l'homme Gaygusuz contre Autriche du 16 septembre 1996, Recueil CourEDH 1996-IV p. 1129 § 41). La Suisse n'ayant pas ratifié ce protocole, l'application de l' art. 14 CEDH ne peut pas entrer en ligne de compte dans le cas d'espèce.</w:t>
      </w:r>
    </w:p>
    <w:p>
      <w:r>
        <w:rPr>
          <w:b/>
        </w:rPr>
        <w:t>E. 7.1</w:t>
      </w:r>
    </w:p>
    <w:p>
      <w:r>
        <w:t>En l'occurrence, la juridiction cantonale a considéré que le degré d'invalidité global présenté par la recourante ne donnait droit à aucune rente de l'assurance-invalidité. En effet, si la recourante avait été en bonne santé, elle aurait continué à consacrer 80 % de son temps à l'exercice de son activité professionnelle et le reste à l'accomplissement de ses travaux habituels (cf. supra consid. 3). D'après les renseignements médicaux versés au dossier, elle présentait désormais une capacité résiduelle de travail de 50 % et une perte de gain de 37,5 %. Compte tenu également d'une entrave de 25 % dans l'accomplissement des travaux habituels, on parvenait à un taux d'invalidité global de 35 % ([0,8 x 37,5 %] + [0,2 x 25 %]). Au demeurant, vu le taux d'occupation de 80 % constaté par les premiers juges, qui lie le Tribunal fédéral, la solution du litige ne serait pas différente si l'on appliquait au cas d'espèce la jurisprudence de l' ATF 131 V 51 et non la méthode mixte d'évaluation de l'invalidité, puisque la perte de gain, calculée exclusivement au moyen de la méthode de la comparaison des revenus, serait de 37,5 % ([80-50]/80 x 100).</w:t>
      </w:r>
    </w:p>
    <w:p>
      <w:r>
        <w:rPr>
          <w:b/>
        </w:rPr>
        <w:t>E. 7.2</w:t>
      </w:r>
    </w:p>
    <w:p>
      <w:r>
        <w:t>Sur le vu des considérations développées ci-dessus, il n'y a pas lieu de s'écarter du jugement entrepris, dès lors qu'il applique correctement la jurisprudence susmentionnée. Ainsi qu'on l'a vu, cette solution ne satisfait pas une partie de la doctrine. Force est toutefois de constater qu'elle est la conséquence de la dualité méthodologique voulue à l'origine par le législateur. Le point de savoir si un tel choix est encore opportun à la lumière de l'évolution sociologique de la société ne peut pas être tranché par le Tribunal fédéral. Au risque peut-être de se répéter, il appartient au législateur fédéral de proposer une solution qui, à ses yeux, tiendrait mieux compte de la situation des travailleurs à temps partiel (voir ATF 125 V 146 consid. 5c/dd in fine p. 160 s.).</w:t>
      </w:r>
    </w:p>
    <w:p>
      <w:r>
        <w:rPr>
          <w:b/>
        </w:rPr>
        <w:t>E. 8</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