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9C_78/2019 vom 21. Februar 2019</w:t>
      </w:r>
    </w:p>
    <w:p>
      <w:r>
        <w:t>Bundesgericht, 2019-02-21, DE</w:t>
      </w:r>
    </w:p>
    <w:p>
      <w:r>
        <w:rPr>
          <w:b/>
        </w:rPr>
        <w:t xml:space="preserve">Quelle: </w:t>
      </w:r>
      <w:r>
        <w:t>https://mcp.opencaselaw.ch/entscheid/bger_9C_78_2019</w:t>
      </w:r>
    </w:p>
    <w:p>
      <w:r>
        <w:t>FR: TF 9C_78/2019 du 21 février 2019</w:t>
      </w:r>
    </w:p>
    <w:p>
      <w:r>
        <w:t>IT: TF 9C_78/2019 del 21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9C_78/2019</w:t>
      </w:r>
    </w:p>
    <w:p>
      <w:r>
        <w:t>Urteil vom 21. Februar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St. Gallen,</w:t>
      </w:r>
    </w:p>
    <w:p>
      <w:r>
        <w:t>Brauerstrasse 54, 9016 St. Gallen,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St. Gallen</w:t>
      </w:r>
    </w:p>
    <w:p>
      <w:r>
        <w:t>vom 14. Dezember 2018 (IV 2017/5).</w:t>
      </w:r>
    </w:p>
    <w:p>
      <w:r>
        <w:t>Nach Einsicht</w:t>
      </w:r>
    </w:p>
    <w:p>
      <w:r>
        <w:t>in die Beschwerde des A.________ vom 28. Januar 2019 (Poststempel) gegen den Entscheid des Versicherungsgerichts des Kantons St. Gallen vom 14. Dezember 2018,</w:t>
      </w:r>
    </w:p>
    <w:p>
      <w:r>
        <w:t>in Erwägung,</w:t>
      </w:r>
    </w:p>
    <w:p>
      <w:r>
        <w:t>dass nach Art. 42 Abs. 1 und 2 BGG die Beschwerde unter anderem die Begehren und deren Begründung zu enthalten hat, wobei in der Begründung in gedrängter Form darzulegen ist, inwiefern der angefochtene Akt Recht verletzt,</w:t>
      </w:r>
    </w:p>
    <w:p>
      <w:r>
        <w:t>dass die Eingabe vom 28. Januar 2019 diesen Anforderungen nicht genügt, da darin weder auf die entscheidenden vorinstanzlichen Erwägungen Bezug genommen wird noch eine Auseinandersetzung damit stattfindet ( BGE 138 I 171 E. 1.4 S. 176; 134 II 244 E. 2.1 S. 245 f.),</w:t>
      </w:r>
    </w:p>
    <w:p>
      <w:r>
        <w:t>dass die geltend gemachte Zustandsverschlechterung seit sechs Monaten in die Zeit nach Erlass der vorinstanzlich angefochtenen, den gerichtlichen Prüfungszeitraum begrenzenden Verfügung vom 22. November 2016 ( BGE 129 V 1 E. 1.2 S. 4) fällt und im Rahmen einer allfälligen Neuanmeldung ( Art. 87 Abs. 2 und 3 IVV ) zu berücksichtigen sein wird,</w:t>
      </w:r>
    </w:p>
    <w:p>
      <w:r>
        <w:t>dass die Beschwerde offensichtlich keine hinreichende Begründung enthält und daher im vereinfachten Verfahren nach Art. 108 Abs. 1 lit. b und Abs. 3 BGG durch Nichteintreten zu erledigen ist,</w:t>
      </w:r>
    </w:p>
    <w:p>
      <w:r>
        <w:t>dass in Anwendung von Art. 66 Abs. 1 Satz 2 BGG auf die Erhebung von Gerichtskosten zu verzichten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21. Februar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