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9C_78/2008 vom 3. Juni 2008</w:t>
      </w:r>
    </w:p>
    <w:p>
      <w:r>
        <w:t>Bundesgericht, 2008-06-03, DE</w:t>
      </w:r>
    </w:p>
    <w:p>
      <w:r>
        <w:rPr>
          <w:b/>
        </w:rPr>
        <w:t xml:space="preserve">Quelle: </w:t>
      </w:r>
      <w:r>
        <w:t>https://mcp.opencaselaw.ch/entscheid/bger_9C_78_2008</w:t>
      </w:r>
    </w:p>
    <w:p>
      <w:r>
        <w:t>FR: TF 9C_78/2008 du 3 juin 2008</w:t>
      </w:r>
    </w:p>
    <w:p>
      <w:r>
        <w:t>IT: TF 9C_78/2008 del 3 giugno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9C_78/2008</w:t>
      </w:r>
    </w:p>
    <w:p>
      <w:r>
        <w:t>Urteil vom 3. Juni 2008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Nussbaumer.</w:t>
      </w:r>
    </w:p>
    <w:p>
      <w:r>
        <w:t>Parteien</w:t>
      </w:r>
    </w:p>
    <w:p>
      <w:r>
        <w:t>Z.________, Kosovo, Beschwerdeführer,</w:t>
      </w:r>
    </w:p>
    <w:p>
      <w:r>
        <w:t>gegen</w:t>
      </w:r>
    </w:p>
    <w:p>
      <w:r>
        <w:t>IV-Stelle für Versicherte im Ausland,</w:t>
      </w:r>
    </w:p>
    <w:p>
      <w:r>
        <w:t>avenue Edmond-Vaucher 18, 1203 Genf, 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Bundesverwaltungsgerichts</w:t>
      </w:r>
    </w:p>
    <w:p>
      <w:r>
        <w:t>vom 17. Dezember 2007.</w:t>
      </w:r>
    </w:p>
    <w:p>
      <w:r>
        <w:t>Nach Einsicht</w:t>
      </w:r>
    </w:p>
    <w:p>
      <w:r>
        <w:t>in die Beschwerde vom 14./22. Januar 2008 gegen den Entscheid des Bundesverwaltungsgerichts vom 17. Dezember 2007,</w:t>
      </w:r>
    </w:p>
    <w:p>
      <w:r>
        <w:t>in das Schreiben des Bundesgerichts vom 23. Januar 2008 an Z.________, wonach die Beschwerde die gesetzlichen Formerfordernisse hinsichtlich Antrag und Begründung nicht zu erfüllen scheint und eine Verbesserung nur innert der Beschwerdefrist möglich ist,</w:t>
      </w:r>
    </w:p>
    <w:p>
      <w:r>
        <w:t>in die daraufhin von Z.________ am 9. Februar 2008 (Poststempel) und damit nach Ablauf der Beschwerdefrist eingereichte Eingabe,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beiden Eingaben des Beschwerdeführers - wobei die zweite ohnehin verspätet ist - diesen inhaltlichen Mindestanforderungen nicht genügen, da den Ausführungen nicht entnommen werden kann, inwiefern die Sachverhaltsfeststellung der Vorinstanz im Sinne von Art. 97 Abs. 1 BGG - soweit überhaupt beanstandet - unzutreffend und die darauf beruhenden Erwägungen rechtsfehlerhaft sein sollen,</w:t>
      </w:r>
    </w:p>
    <w:p>
      <w:r>
        <w:t>dass deshalb im vereinfachten Verfahren nach Art. 108 Abs. 1 lit. b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Bundesverwaltungsgericht, der Schweizerische Ausgleichskasse und dem Bundesamt für Sozialversicherungen schriftlich mitgeteilt.</w:t>
      </w:r>
    </w:p>
    <w:p>
      <w:r>
        <w:t>Luzern, 3. Juni 2008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Nussbaumer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