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9C_789/2008 vom 26. Februar 2009</w:t>
      </w:r>
    </w:p>
    <w:p>
      <w:r>
        <w:t>Bundesgericht, 2009-02-26, DE</w:t>
      </w:r>
    </w:p>
    <w:p>
      <w:r>
        <w:rPr>
          <w:b/>
        </w:rPr>
        <w:t xml:space="preserve">Quelle: </w:t>
      </w:r>
      <w:r>
        <w:t>https://mcp.opencaselaw.ch/entscheid/bger_9C_789_2008</w:t>
      </w:r>
    </w:p>
    <w:p>
      <w:r>
        <w:t>FR: TF 9C_789/2008 du 26 février 2009</w:t>
      </w:r>
    </w:p>
    <w:p>
      <w:r>
        <w:t>IT: TF 9C_789/2008 del 26 febbraio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Würdigung des medizinischen Dossiers, insbesondere gestützt auf das Gutachten des medizinischen Zentrums X.________ vom 22. November 2006, festgehalten, dass eine durch somatische Befunde erklärbare dauerhafte Einschränkung der funktionellen Leistungsfähigkeit nur im Umfange von höchstens 30 % in der Tätigkeit als Service-Angestellte und von höchstens 20 % in einer angepassten leichteren Tätigkeit bestehe und dass die darüber hinausgehende Limitierung der Beschwerdeführerin auf einer willentlich überwindbaren somatoformen Schmerzstörung beruhe.</w:t>
      </w:r>
    </w:p>
    <w:p>
      <w:r>
        <w:rPr>
          <w:b/>
        </w:rPr>
        <w:t>E. 2.2</w:t>
      </w:r>
    </w:p>
    <w:p>
      <w:r>
        <w:t>Die tatsächlichen Feststellungen der Vorinstanz sind nicht mangelhaft im Sinne von Art. 97 Abs. 1 BGG . Namentlich hat das kantonale Gericht eingehend begründet, weshalb die von der Rechtsprechung im Zusammenhang mit der somatoformen Schmerzstörung formulierten Erheblichkeitskriterien nach Zumutbarkeitsgesichtspunkten nicht zur Anerkennung einer zusätzlichen Arbeitsunfähigkeit führten und weshalb hinsichtlich der Beurteilung der Arbeitsunfähigkeit nicht auf die Einschätzung der Rehaklinik Y.________ und des Hausarztes abgestellt werden könne. Diese Schlussfolgerung ist nach der Aktenlage nicht offensichtlich unrichtig, noch ist darin eine unvollständige Sachverhaltsfeststellung oder eine Verletzung des Untersuchungsgrundsatzes zu erblicken. Da keine erheblichen Zweifel an Vollständigkeit und/oder Richtigkeit der bisher getroffenen Tatsachenfeststellung bestehen (vgl. Urteil 8C_364/2007 vom 19. November 2007, E. 3.2), hat das kantonale Gericht zu Recht von Beweisweiterungen abgesehen. Das Gutachten des medizinischen Zentrums X.________ vom 22. November 2006 entspricht den Anforderungen der Rechtsprechung ( BGE 125 V 351 E. 3a S. 352 mit Hinweis). Es berücksichtigt die geklagten Leiden, stützt sich auf die Vorakten, insbesondere den Austrittsbericht der Rehaklinik Y.________ vom 22. August 2006, leuchtet in der Beurteilung der medizinischen Zusammenhänge ein und enthält eine nachvollziehbare Begründung der Schlussfolgerungen, warum seitens der ärztlichen Sachverständigen keine höheren Einschränkungen der Arbeitsfähigkeit attestiert wurden. Von einer willkürlichen Beweiswürdigung durch die Vorinstanz kann deshalb nicht gesprochen werden. 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Das trifft hier auch deswegen nicht zu, weil der rheumatologische Untersucher anlässlich der Begutachtungssituation im medizinischen Zentrum X.________ eindeutige Inkonsistenzen im Verhalten feststellte, was bei der Beurteilung der invalidisierenden Wirkung somatoformer Schmerzstörungen zu berücksichtigen ist ( BGE 131 V 49 ). Die Vorbringen in der Beschwerde vermögen daher am kantonalen Entscheid nichts zu ändern.</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