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788/2020 vom 3. Mai 2021</w:t>
      </w:r>
    </w:p>
    <w:p>
      <w:r>
        <w:t>Bundesgericht, 2021-05-03, DE</w:t>
      </w:r>
    </w:p>
    <w:p>
      <w:r>
        <w:rPr>
          <w:b/>
        </w:rPr>
        <w:t xml:space="preserve">Quelle: </w:t>
      </w:r>
      <w:r>
        <w:t>https://mcp.opencaselaw.ch/entscheid/bger_9C_788_2020</w:t>
      </w:r>
    </w:p>
    <w:p>
      <w:r>
        <w:t>FR: TF 9C 788/2020 du 3 mai 2021</w:t>
      </w:r>
    </w:p>
    <w:p>
      <w:r>
        <w:t>IT: TF 9C 788/2020 del 3 maggio 2021</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Eintretensvoraussetzungen von Amtes wegen und mit freier Kognition ( Art. 29 Abs. 1 BGG ; BGE 144 V 97 E. 1; 144 II 184 E. 1).</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Ein Entscheid, mit dem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selbstständig anfechtbar ist, bei Nichtanfechtung selbstständig rechtskräftig wird und später nicht mehr angefochten werden kann ( BGE 135 V 141 E. 1.4; Urteil 9C_770/2019 vom 11. März 2020 E. 2.2).</w:t>
      </w:r>
    </w:p>
    <w:p>
      <w:r>
        <w:rPr>
          <w:b/>
        </w:rPr>
        <w:t>E. 1.4</w:t>
      </w:r>
    </w:p>
    <w:p>
      <w:r>
        <w:t>Das kantonale Gericht hiess die Beschwerde betreffend die Verfügung vom 27. Februar 2020 in dem Sinne gut, dass es diese - soweit damit der Rentenanspruch auf den 30. September 2019 hin befristet wurde - aufhob und die Sache an die IV-Stelle zur weiteren Abklärung und neuen Verfügung über den Leistungsanspruch ab 1. Oktober 2019 zurückwies. Im Übrigen wies es die Beschwerde ab. Der vorinstanzliche Entscheid ist somit ein Teilentscheid gemäss Art. 91 lit. a BGG , soweit er die Beschwerde betreffend einen Rentenanspruch vor dem 1. Dezember 2018 abweist. Was indessen die Rückweisung der Sache zur weiteren Abklärung anbelangt, liegt ein Zwischenentscheid im Sinne von Art. 93 BGG vor. Weder ist diesbezüglich ein nicht wieder gutzumachender Nachteil behauptet oder ersichtlich (vgl. dazu BGE 140 V 321 E. 3.6; 137 V 314 E. 2) noch könnte durch ein materielles Urteil des Bundesgerichts ein kostspieliges und weitläufiges Verwaltungsverfahren vermieden werden (vgl. dazu Urteil 9C_329/2011 vom 27. September 2011 E. 3.3 mit Hinweisen, in: SVR 2012 IV Nr. 23 S. 97). Da nach dem Gesagten die Eintretensvoraussetzungen des Art. 93 Abs. 1 BGG nicht gegeben sind, ist auf die Beschwerde, soweit den Leistungsanspruch ab dem 1. Oktober 2019 betreffend, nicht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Das kantonale Gericht mass der Expertise der SMAB AG vom 30. Juni 2017 und der ergänzenden Stellungnahme vom 8. Dezember 2017 Beweiswert zu. Die Vorinstanz stellte fest, dass der Beschwerdeführer gemäss Gutachten in der Lage sei, körperlich leichte bis mittelschwere Tätigkeiten mit Heben und Tragen von Lasten bis zu 15 kg durchzuführen. Arbeiten, die Beidhändigkeit voraussetzen und einen starken Kraftschluss beider Hände benötigen würden, seien zu umgehen. Tätigkeiten unter dem Einfluss von Vibrationen und extremen Temperaturschwankungen, über Kopfhöhe oder in grösseren Gruppen seien ebenfalls zu vermeiden. Das kantonale Gericht erkannte, insbesondere mit Blick auf die bloss geringe klinische und radiologische Ausprägung der Befunde, auf die vorhandenen Inkongruenzen sowie auf das Aktivitätenniveau des Beschwerdeführers im Alltag, sei gestützt auf die Einschätzung der Gutachter der SMAB AG von einer 100%igen Arbeitsfähigkeit ab dem 17. Mai 2016 in der bisherigen sowie in einer angepassten Tätigkeit auszugehen.</w:t>
      </w:r>
    </w:p>
    <w:p>
      <w:r>
        <w:rPr>
          <w:b/>
        </w:rPr>
        <w:t>E. 3.2</w:t>
      </w:r>
    </w:p>
    <w:p>
      <w:r>
        <w:t>Die Einwendungen des Beschwerdeführers lassen weder die vorinstanzlichen Sachverhaltsfeststellungen als offensichtlich unrichtig, als Ergebnis willkürlicher Beweiswürdigung oder als rechtsfehlerhaft nach Art. 95 BGG erscheinen, noch zeigen sie sonstwie eine Bundesrechtsverletzung auf (vgl. E. 2). Er bringt vor, mit dem im Gutachten der SMAB AG vom 8. August 2019 festgelegten Belastungsprofil seien keine Tätigkeiten denkbar, die er noch ausüben könne. Sein Invalideneinkommen betrage somit Fr. 0.-, weshalb ihm eine ganze Rente zuzusprechen sei. Mit dieser Rüge vermag der Beschwerdeführer nichts zu seinen Gunsten abzuleiten. Die Vorinstanz stellte für das Bundesgericht verbindlich (E. 2) fest, dass für die hier zu beurteilende Teil-Periode (E. 1.4) das Gutachten der SMAB AG vom 30. Juni 2017 (mit ergänzender Stellungnahme vom 8. Dezember 2017) und somit das dort festgehaltene Leistungsprofil relevant sei. Der Beschwerdeführer macht nicht geltend, dass er mit diesem Belastungsprofil (E. 3.1) keine Tätigkeiten mehr ausüben kann. Dies ist denn auch mit Blick darauf, dass ihm die angestammte Arbeit noch im Umfang von 100 % zumutbar ist, nicht ersichtlich.</w:t>
      </w:r>
    </w:p>
    <w:p>
      <w:r>
        <w:rPr>
          <w:b/>
        </w:rPr>
        <w:t>E. 3.3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Die Gerichtskosten hat der Beschwerdeführer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