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9C_788/2019 vom 30. Januar 2020</w:t>
      </w:r>
    </w:p>
    <w:p>
      <w:r>
        <w:t>Bundesgericht, 2020-01-30, DE</w:t>
      </w:r>
    </w:p>
    <w:p>
      <w:r>
        <w:rPr>
          <w:b/>
        </w:rPr>
        <w:t xml:space="preserve">Quelle: </w:t>
      </w:r>
      <w:r>
        <w:t>https://mcp.opencaselaw.ch/entscheid/bger_9C_788_2019</w:t>
      </w:r>
    </w:p>
    <w:p>
      <w:r>
        <w:t>FR: TF 9C_788/2019 du 30 janvier 2020</w:t>
      </w:r>
    </w:p>
    <w:p>
      <w:r>
        <w:t>IT: TF 9C_788/2019 del 30 gennaio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Die Vorinstanz ist auf den Antrag des Beschwerdeführers auf berufliche Massnahmen nicht eingetreten. Sie hat der Expertise der MEDAS vom 21. Januar 2014 sowie dem am 18. August 2017 erstatteten PMEDA-Gutachten Beweiskraft zuerkannt und in leidensangepasster Tätigkeit eine Arbeitsfähigkeit von 80 % ab 2007 sowie von 100 % ab dem 18. August 2017 festgestellt. Auf dieser Grundlage hat sie den Rentenanspruch des Beschwerdeführers verneint.</w:t>
      </w:r>
    </w:p>
    <w:p>
      <w:r>
        <w:rPr>
          <w:b/>
        </w:rPr>
        <w:t>E. 2.2</w:t>
      </w:r>
    </w:p>
    <w:p>
      <w:r>
        <w:t>Streitig und damit zu prüfen ist, ob das kantonale Gericht seinen Entscheid in medizinischer Hinsicht zu Recht gestützt auf die beiden Expertisen von MEDAS und PMEDA gefällt hat.</w:t>
      </w:r>
    </w:p>
    <w:p>
      <w:r>
        <w:rPr>
          <w:b/>
        </w:rPr>
        <w:t>E. 3.1.1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S. 195; 134 V 231 E. 5.1 S. 232; 125 V 351 E. 3a S. 352 mit Hinweis).</w:t>
      </w:r>
    </w:p>
    <w:p>
      <w:r>
        <w:t>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 BGE 125 V 351 E. 3b/bb S. 353; Urteil 9C_278/2016 vom 22. Juli 2016 E. 3.2.2).</w:t>
      </w:r>
    </w:p>
    <w:p>
      <w:r>
        <w:rPr>
          <w:b/>
        </w:rPr>
        <w:t>E. 3.1.2</w:t>
      </w:r>
    </w:p>
    <w:p>
      <w:r>
        <w:t>Bei den gerichtlichen Feststellungen zum Gesundheitszustand und zur Arbeitsfähigkeit handelt es sich grundsätzlich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3.2.1</w:t>
      </w:r>
    </w:p>
    <w:p>
      <w:r>
        <w:t>Der Beschwerdeführer legt nicht substanziiert dar, welche wesentlichen Aspekte der (somatischen) Krankengeschichte und längerdauernde Arbeitsunfähigkeit (vgl. Art. 88a Abs. 2 IVV ) die MEDAS-Experten in ihrem Gutachten vom 21. Januar 2014 übergangen haben sollten. Ihre Arbeitsfähigkeitsschätzung erfolgte in Kenntnis der relevanten aktenkundigen Berichte und der darin enthaltenen Arbeits (un) fähigkeitsbescheinigungen (vgl. Gutachten S. 2-26, 28, 41, 46 ff., 53 ff., 58 f.). Sowohl eine orthopädisch klinische als auch eine bildgebende Untersuchung wurden schliesslich durchgeführt (Gutachten S. 31 ff., 61 f.).</w:t>
      </w:r>
    </w:p>
    <w:p>
      <w:r>
        <w:rPr>
          <w:b/>
        </w:rPr>
        <w:t>E. 3.2.2</w:t>
      </w:r>
    </w:p>
    <w:p>
      <w:r>
        <w:t>Entgegen dem Vorbringen des Beschwerdeführers berücksichtigten die Experten der PMEDA seine Schmerzproblematik im Rahmen der geklagten Beschwerden (Gutachten S. 17 f., 62 f.) sowie anlässlich der klinischen Untersuchung (Gutachten S. 54 ff., 98 ff.) und würdigten diese ebenfalls in ihrer Beurteilung (Gutachten S. 58 ff., 101 f.). Sodann attestierte auch der behandelnde Psychiater keine zusätzliche Arbeitsunfähigkeit (Psychiatrischer Verlaufsbericht vom 13. Februar 2018).</w:t>
      </w:r>
    </w:p>
    <w:p>
      <w:r>
        <w:rPr>
          <w:b/>
        </w:rPr>
        <w:t>E. 3.2.3</w:t>
      </w:r>
    </w:p>
    <w:p>
      <w:r>
        <w:t>Was schliesslich den Zeitraum zwischen den beiden Gutachten - von Januar 2014 bis August 2017 - angeht, so ist Folgendes festzuhalten: Einzig der Umstand, dass nach Erstattung der MEDAS-Expertise weitere medizinische Eingriffe erfolgten, lässt noch nicht auf eine fehlende Beweiskraft des Gutachtens für diesen Zeitraum schliessen. Soweit der Beschwerdeführer auf die Einschätzungen der behandelnden Ärzte verweist, würdigt er die medizinischen Unterlagen abweichend zur Vorinstanz und zieht daraus andere Schlüsse, was nicht genügt (Urteile 9C_123/2018 vom 16. Januar 2019 E. 3.4.2 und 9C_494/2016 vom 19. Dezember 2016 E. 3.5). Entscheidend ist in diesem Zusammenhang, dass die PMEDA-Gutachter einen Status nach multiplen HWS-Operationen mit gutem funktionellem Ergebnis erhoben, dies bei nicht ausreichendem klinischem Korrelat für die geklagten Beschwerden, an welcher medizinischen Beurteilung sie in Kenntnis der Einwände festhielten (Stellungnahme vom 12. Februar 2018).</w:t>
      </w:r>
    </w:p>
    <w:p>
      <w:r>
        <w:rPr>
          <w:b/>
        </w:rPr>
        <w:t>E. 4</w:t>
      </w:r>
    </w:p>
    <w:p>
      <w:r>
        <w:t>Die vorinstanzliche Beweiswürdigung und die Feststellungen zur Arbeitsfähigkeit (E. 2.1) sind daher nicht offensichtlich unrichtig. Sie beruhen auch nicht auf einer Rechtsverletzung, insbesondere liegen weder eine Missachtung der Beweiswürdigungsregeln (E. 3.1.1) noch des Untersuchungsgrundsatzes ( Art. 61 lit. c ATSG ) vor. Damit bleiben sie für das Bundesgericht verbindlich (vgl. E. 1, 3.1.2). Die Invaliditätsbemessung des kantonalen Gerichts wird zu Recht nicht bestritten. Die Beschwerde ist offensichtlich unbegründet ( Art. 109 Abs. 2 lit. a BGG ).</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