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9C_788/2011 vom 23. Dezember 2011</w:t>
      </w:r>
    </w:p>
    <w:p>
      <w:r>
        <w:t>Bundesgericht, 2011-12-23, DE</w:t>
      </w:r>
    </w:p>
    <w:p>
      <w:r>
        <w:rPr>
          <w:b/>
        </w:rPr>
        <w:t xml:space="preserve">Quelle: </w:t>
      </w:r>
      <w:r>
        <w:t>https://mcp.opencaselaw.ch/entscheid/bger_9C_788_2011</w:t>
      </w:r>
    </w:p>
    <w:p>
      <w:r>
        <w:t>FR: TF 9C_788/2011 du 23 décembre 2011</w:t>
      </w:r>
    </w:p>
    <w:p>
      <w:r>
        <w:t>IT: TF 9C_788/2011 del 23 dicembre 2011</w:t>
      </w:r>
    </w:p>
    <w:p>
      <w:pPr>
        <w:pStyle w:val="Heading2"/>
      </w:pPr>
      <w:r>
        <w:t>Erwägungen</w:t>
      </w:r>
    </w:p>
    <w:p>
      <w:r>
        <w:rPr>
          <w:b/>
        </w:rPr>
        <w:t>E. 1</w:t>
      </w:r>
    </w:p>
    <w:p>
      <w:r>
        <w:t>Beim vorinstanzlichen Rückweisungsentscheid handelt es sich um einen Zwischenentscheid im Sinne von Art. 93 BGG ( BGE 133 V 477 E. 4.2 S. 481 f.). Solche (selbstständig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keine Rolle: Ein Urteil des Bundesgerichts über den Ersatz der Parteikosten für das vorinstanzliche Verfahren würde nicht sofort zu einem Endentscheid in der Sache führen. Was das Erfordernis gemäss Art. 93 Abs. 1 lit. a BGG anbelangt, hat das Bundesgericht in BGE 133 V 645 (bestätigt z.B. mit Urteil 9C_567/2008 vom 30. Oktober 2008) erkannt, dass die Regelung der Kosten- und Entschädigungsfolge in einem Rückweisungsentscheid ebenfalls einen Zwischenentscheid im Sinne von Art. 93 BGG darstellt und auch insofern der nicht wieder gutzumachende Nachteil zu verneinen und daher auf entsprechende Beschwerden nicht einzutreten ist. Über Gerichts- und Parteikosten kann nicht befunden werden, ohne vorfrageweise die Begründetheit der Rückweisung zu prüfen, was unzulässig ist ( BGE 133 V 645 E. 2.1 S. 647). Die Beschwerde ist im Lichte dieser Grundsätze unzulässig. Die Höhe der Parteientschädigung und damit zusammenhängend das Honorar für die unentgeltliche Verbeiständung im vorinstanzlichen Verfahren wird durch Beschwerde gegen den Endentscheid anfechtbar sein ( Art. 93 Abs. 3 BGG ). Gelangt der Streit nicht mehr vor das kantonale Gericht, beispielsweise wenn die IV-Stelle auf Grund der Ergebnisse der weiteren Abklärungen voll zu Gunsten des Versicherten entscheidet, kann gegen deren Verfügung oder Einspracheentscheid direkt Beschwerde in öffentlich-rechtlichen Angelegenheiten beim Bundesgericht erhoben und es können die betreffenden Punkte gerügt werden (vgl. hiezu die bereits zitierten Urteile BGE 133 V 645 E. 2.2 S. 648 und 9C_567/2008 vom 30. Oktober 2008 E. 4.2 ).</w:t>
      </w:r>
    </w:p>
    <w:p>
      <w:r>
        <w:rPr>
          <w:b/>
        </w:rPr>
        <w:t>E. 2</w:t>
      </w:r>
    </w:p>
    <w:p>
      <w:r>
        <w:t>Auf die im Sinne von Art. 108 Abs. 1 lit. a BGG offensichtlich unzulässige Beschwerde ist im vereinfachten Verfahren nicht einzutreten.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