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787/2017 vom 16. August 2018</w:t>
      </w:r>
    </w:p>
    <w:p>
      <w:r>
        <w:t>Bundesgericht, 2018-08-16, DE</w:t>
      </w:r>
    </w:p>
    <w:p>
      <w:r>
        <w:rPr>
          <w:b/>
        </w:rPr>
        <w:t xml:space="preserve">Quelle: </w:t>
      </w:r>
      <w:r>
        <w:t>https://mcp.opencaselaw.ch/entscheid/bger_9C_787_2017</w:t>
      </w:r>
    </w:p>
    <w:p>
      <w:r>
        <w:t>FR: TF 9C 787/2017 du 16 août 2018</w:t>
      </w:r>
    </w:p>
    <w:p>
      <w:r>
        <w:t>IT: TF 9C 787/2017 del 16 agosto 2018</w:t>
      </w:r>
    </w:p>
    <w:p>
      <w:pPr>
        <w:pStyle w:val="Heading2"/>
      </w:pPr>
      <w:r>
        <w:t>Regeste</w:t>
      </w:r>
    </w:p>
    <w:p>
      <w:r>
        <w:t>Ergänzungsleistung zur AHV/IV | Ergänzungsleistung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Urteil 9C_827/2017 vom 7. Mai 2018 E. 1, zur Publikation vorgesehen). Immerhin muss die Beschwerde (auch) bezüglich der Prozessvoraussetzungen, soweit diese - wie hier - nicht ohne Weiteres ersichtlich sind, hinreichend begründet werden ( Art. 42 Abs. 1 und 2 BGG ; BGE 134 II 120 E. 1 S. 121; SVR 2009 UV Nr. 48 S. 170; 8C_760/2008 E. 3.1).</w:t>
      </w:r>
    </w:p>
    <w:p>
      <w:r>
        <w:rPr>
          <w:b/>
        </w:rPr>
        <w:t>E. 2.1</w:t>
      </w:r>
    </w:p>
    <w:p>
      <w:r>
        <w:t>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 Art. 89 Abs. 1 BGG ). Im Interesse einer anderen Person ein Rechtsmittel zu ergreifen, erfordert ein - wie auch immer geartetes - besonderes eigenes Berührtsein ( BGE 137 III 67 E. 3.5 S. 74). Der Dritte muss ein selbstständiges, eigenes Rechtsschutzinteresse an der Beschwerdeführung haben, was voraussetzt, dass ihm aus dem streitigen Verwaltungsakt ein unmittelbarer Nachteil erwächst; bloss mittelbare, faktische Interessen an dessen Aufhebung oder Änderung reichen nicht aus ( BGE 138 V 292 E. 4 S. 296; SVR 2010 BVG Nr. 22 S. 86, 9C_918/2009 E. 4.3.1 mit Hinweisen).</w:t>
      </w:r>
    </w:p>
    <w:p>
      <w:r>
        <w:rPr>
          <w:b/>
        </w:rPr>
        <w:t>E. 2.2</w:t>
      </w:r>
    </w:p>
    <w:p>
      <w:r>
        <w:t>Die Beschwerdeführer machen geltend, der Erbteil des C.A.________ dürfe nur zu bestimmten Zwecken, aber nicht zur Finanzierung der Lebenshaltung und des Heimaufenthalts verwendet werden. Der Versicherte habe keine Verfügungsgewalt über dieses Vermögen. Dennoch sei es - zu Unrecht - bei den Berechnungen des Ergänzungsleistungsanspruchs (vgl. Art. 11 Abs. 1 lit. c ELG [SR 831.30]) berücksichtigt worden. Die testamentarisch festgehaltenen Rechte und Pflichten als Nacherben resp. als Dauertestamentsvollstreckerin würden durch den angefochtenen Entscheid nach dem Aufbrauchen des Vermögens hinfällig. Somit seien sie beide unmittelbar und persönlich von den Verfügungen der Ausgleichskasse und dem Entscheid vom 27. Juni 2017 betroffen und in ihren schutzwürdigen Interessen berührt und deshalb zur Beschwerde (pro Verfügungsadressat) legitimiert.</w:t>
      </w:r>
    </w:p>
    <w:p>
      <w:r>
        <w:rPr>
          <w:b/>
        </w:rPr>
        <w:t>E. 2.3.1</w:t>
      </w:r>
    </w:p>
    <w:p>
      <w:r>
        <w:t>Gegenstand der Verfügungen der Ausgleichskasse und des Entscheids vom 27. Juni 2017 bildete einzig der Anspruch des Versicherten auf (jährliche) Ergänzungsleistungen. Entgegen der Auffassung der Beschwerdeführer sind sie von diesem Rechtsverhältnis nicht direkt betroffen: Auch wenn die Höhe der Ergänzungsleistungen möglicherweise zu niedrig festgelegt wurde, wird dadurch weder dem Versicherten das geerbte Vermögen entzogen noch über dessen tatsächliche Verwendung entschieden. Aus der Stellung als Nacherben resp. Dauertestamentsvollstreckerin lässt sich somit in Bezug auf den Ergänzungsleistungsanspruch keine Beschwerdebefugnis ableiten. Soweit die Beschwerdeführer (im eigenen Interesse) Fragen nach der Verfügungsgewalt über das interessierende Vermögen und nach dessen zulässiger Verwendung aufwerfen, sind diese gegebenenfalls auf zivilrechtlichem Weg zu klären.</w:t>
      </w:r>
    </w:p>
    <w:p>
      <w:r>
        <w:rPr>
          <w:b/>
        </w:rPr>
        <w:t>E. 2.3.2</w:t>
      </w:r>
    </w:p>
    <w:p>
      <w:r>
        <w:t>Das Bundesgericht schloss in BGE 138 V 292 E. 4.3 S. 297 f. aus dem Umstand, dass die mündige Tochter - für die Anspruch auf eine Kinderrente bestand - berechtigt war, ihren Vater zum Bezug von Ergänzungsleistungen anzumelden ( Art. 20 Abs. 1 ELV [SR 831.301] i.V.m. Art. 67 Abs. 1 AHVV [SR 831.101]), unmittelbar auf ihre Legitimation (vgl. Art. 59 ATSG ) zur Einsprache resp. zur Beschwerde gegen den entsprechenden Einspracheentscheid. Aus dem gleichen Grund (Anmeldeberechtigung) bejahte es in E. 3.2 des Urteils 9C_301/2016 vom 25. Januar 2017 die Beschwerdelegitimation des Ehegatten der Versicherten. Die Situation der Geschwister des Leistungsansprechers ist nicht mit jener der Kinder oder des Ehegatten zu vergleichen: Das Vorhandensein von (erwachsenen) Geschwistern ist weder invalidenversicherungs- noch ergänzungsleistungsrechtlich von Bedeutung; ausserdem gibt es keine zivilrechtliche Unterhalts- oder Unterstützungspflicht unter Geschwistern (vgl. Art. 328 ZGB ). Die Beschwerdeführer berufen sich denn auch für ihre Beschwerdelegitimation mit keinem Wort auf die Anmeldebefugnis der in Art. 67 Abs. 1 AHVV ebenfalls genannten Geschwister, weshalb sich diesbezügliche Weiterungen erübrigen (E. 1).</w:t>
      </w:r>
    </w:p>
    <w:p>
      <w:r>
        <w:rPr>
          <w:b/>
        </w:rPr>
        <w:t>E. 2.4</w:t>
      </w:r>
    </w:p>
    <w:p>
      <w:r>
        <w:t>Nach dem Gesagten brauchen die weiteren Eintretensvoraussetzungen nicht geprüft zu werden, weshalb insbesondere die Fragen zum Anfechtungsgegenstand (vgl. Art. 86 Abs. 1 lit. d BGG ; BGE 125 V 413 E. 1 S. 414 f.) und zur Fristwahrung (vgl. Art. 100 Abs. 1 i.V.m. 112 Abs. 1 BGG) offenbleiben können. Die Beschwerde ist unzulässig.</w:t>
      </w:r>
    </w:p>
    <w:p>
      <w:r>
        <w:rPr>
          <w:b/>
        </w:rPr>
        <w:t>E. 3</w:t>
      </w:r>
    </w:p>
    <w:p>
      <w:r>
        <w:t>Dem Ausgang des Verfahrens entsprechend haben die Beschwerdeführer die Gerichtskosten zu gleichen Teilen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