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9C_784/2019 vom 13. Mai 2020</w:t>
      </w:r>
    </w:p>
    <w:p>
      <w:r>
        <w:t>Bundesgericht, 2020-05-13, DE</w:t>
      </w:r>
    </w:p>
    <w:p>
      <w:r>
        <w:rPr>
          <w:b/>
        </w:rPr>
        <w:t xml:space="preserve">Quelle: </w:t>
      </w:r>
      <w:r>
        <w:t>https://mcp.opencaselaw.ch/entscheid/bger_9C_784_2019</w:t>
      </w:r>
    </w:p>
    <w:p>
      <w:r>
        <w:t>FR: TF 9C_784/2019 du 13 mai 2020</w:t>
      </w:r>
    </w:p>
    <w:p>
      <w:r>
        <w:t>IT: TF 9C_784/2019 del 13 maggio 2020</w:t>
      </w:r>
    </w:p>
    <w:p>
      <w:pPr>
        <w:pStyle w:val="Heading2"/>
      </w:pPr>
      <w:r>
        <w:t>Erwägungen</w:t>
      </w:r>
    </w:p>
    <w:p>
      <w:r>
        <w:rPr>
          <w:b/>
        </w:rPr>
        <w:t>E. 1</w:t>
      </w:r>
    </w:p>
    <w:p>
      <w:r>
        <w:t>Das kantonale Gericht ist zu Recht auf die vorinstanzlich eingereichte Feststellungsklage insoweit nicht eingetreten, als der seinerzeitige Kläger und heutige Beschwerdeführer im Hinblick auf sein künftiges eigenes Ableben für seine Lebenspartnerin einen Anspruch auf Lebenspartnerrente geltend machte. Mangels Unmittelbarkeit und Aktualität kann diesbezüglich von einem schützenswerten Interesse des Klägers an der verlangten gerichtlichen Feststellung keine Rede sein ( BGE 128 V 41 E. 3a S. 48; 119 V 11 E. 2a S. 13; 117 V 318 E. 1b S. 320; vgl. auch Art. 16 Abs. 3 zweiter Satz des hier anwendbaren Vorsorgereglements der Beschwerdegegnerin vom 28. März 2018, wonach die Pensionskasse im Leistungsfall [d.h. erst im Todesfall] prüft, ob die Anspruchsvoraussetzungen für eine Lebenspartnerrente gegeben sind). Hingegen hat die Vorinstanz richtigerweise ein unmittelbares und aktuelles, mithin schutzwürdiges Interesse des Klägers an der sofortigen Beantwortung der Frage bejaht, ob er mit der Mitteilung von Februar 2018 seine Lebenspartnerin rechtzeitig gemeldet habe (Urteil 9C_298/2010 vom 28. Februar 2011 E. 1, nicht publ. in: BGE 137 V 105 , aber in: SVR 2011 BVG Nr. 28 S. 104). Auf diesen Teilaspekt der Feststellungsklage, um den es beiden Parteien im Grunde genommen geht, ist das kantonale Gericht zu Recht eingetreten.</w:t>
      </w:r>
    </w:p>
    <w:p>
      <w:r>
        <w:rPr>
          <w:b/>
        </w:rPr>
        <w:t>E. 2</w:t>
      </w:r>
    </w:p>
    <w:p>
      <w:r>
        <w:t>Im Todesfall einer alters- oder invalidenrentenbeziehenden Person besteht nur dann Anspruch auf eine Lebenspartnerrente, falls die Voraussetzungen nach Abs. 1 lit. a, b und d bereits im Zeitpunkt der erstmaligen (Alters- oder Invaliden-) Rentenzahlung, spätestens jedoch bis zur Vollendung des 65. Altersjahrs, erfüllt waren."</w:t>
      </w:r>
    </w:p>
    <w:p>
      <w:r>
        <w:rPr>
          <w:b/>
        </w:rPr>
        <w:t>E. 2.1</w:t>
      </w:r>
    </w:p>
    <w:p>
      <w:r>
        <w:t>Nach Art. 20a Abs. 1 BVG kann die Vorsorgeeinrichtung in ihrem Reglement neben den Anspruchsberechtigten nach den Art. 19 (überlebender Ehegatte), 19a (eingetragene Partnerinnen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144 V 327 E. 1.1 S. 328; 142 V 233 E. 1.1 S. 235; 137 V 383 E. 3.2 S. 388; je mit Hinweisen).</w:t>
      </w:r>
    </w:p>
    <w:p>
      <w:r>
        <w:rPr>
          <w:b/>
        </w:rPr>
        <w:t>E. 2.2</w:t>
      </w:r>
    </w:p>
    <w:p>
      <w:r>
        <w:t>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 BGE 137 V 105 E. 8.2 in fine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 BGE 142 V 233 E. 2.2 S. 237; 137 V 105 E. 9.4 S. 113; 136 V 127 E. 4.5 S. 130). Es ist ihr deshalb grundsätzlich erlaubt, die Erfüllung von reglementarischen (Zusatz-) Erfordernissen und die Geltendmachung des Anspruchs an bestimmte Formen und Fristen zu knüpfen (SVR 2018 BVG Nr. 44 S. 160, 9C_196/2018 E. 2.1).</w:t>
      </w:r>
    </w:p>
    <w:p>
      <w:r>
        <w:rPr>
          <w:b/>
        </w:rPr>
        <w:t>E. 2.3</w:t>
      </w:r>
    </w:p>
    <w:p>
      <w:r>
        <w:t>Das Bundesgericht hat sich bereits mehrfach zu den Voraussetzungen für die Ausrichtung reglementarischer Hinterlassenenleistungen (Lebenspartnerrente, Todesfallkapital) geäussert. Es hat stets bekräftigt, dass beide Formen reglementarisch vorgeschriebener Willenserklärungen zulässig sind, nämlich sowohl eine der Pensionskasse zu Lebzeiten einzureichende schriftliche Meldung über eine bestehende Lebenspartnerschaft und die Bezeichnung der anderen daran beteiligten Person (Variante 1), als auch eine schriftliche Begünstigungserklärung des Verstorbenen zugunsten des überlebenden Lebenspartners, welche auch noch während eines bestimmten Zeitraums nach dem Tod der versicherten Person eingereicht werden kann (Variante 2). Beide Varianten schriftlicher Begünstigungserklärung bilden nicht blosse Beweisvorschriften mit Ordnungscharakter, sondern mit Art. 20a BVG vereinbare formelle Anspruchserfordernisse mit konstitutiver Wirkung ( BGE 142 V 233 E. 2.1 S. 236; 140 V 50 E. 3.3.2 S. 54; 137 V 105 E. 8 S. 111; SVR 2018 BVG Nr. 44 S. 160, 9C_196/2018 E. 2.2 mit Hinweisen).</w:t>
      </w:r>
    </w:p>
    <w:p>
      <w:r>
        <w:rPr>
          <w:b/>
        </w:rPr>
        <w:t>E. 2.4</w:t>
      </w:r>
    </w:p>
    <w:p>
      <w:r>
        <w:t>Unter dem Titel "Lebenspartnerrente" finden sich in Art. 16 Abs. 1 und 2 des Vorsorgereglements der Beschwerdeführerin folgende Bestimmungen:</w:t>
      </w:r>
    </w:p>
    <w:p>
      <w:r>
        <w:t>"1 Für den bzw. die von der versicherten Person bezeichneten Lebenspartner bzw. Lebenspartnerin (verschiedenen oder gleichen Geschlechts) besteht Anspruch auf eine Hinterlassenenrente in der Höhe der Ehegattenrente, sofern</w:t>
      </w:r>
    </w:p>
    <w:p>
      <w:r>
        <w:t>a. der bezeichnete Lebenspartner bzw. die bezeichnete Lebenspartnerin und die versicherte Person vor dem Tod der versicherten Person nachweislich in einer festen und ausschliesslichen Zweierbeziehung mit gemeinsamem Wohnsitz sowie im gemeinsamen Haushalt gelebt haben und</w:t>
      </w:r>
    </w:p>
    <w:p>
      <w:r>
        <w:t>b. die versicherte und die begünstigte Person im Zeitpunkt des Todes jeweils unverheiratet und im Sinne von Art. 95 ZGB nicht verwandt sind und</w:t>
      </w:r>
    </w:p>
    <w:p>
      <w:r>
        <w:t>c. der bezeichnete Lebenspartner bzw. die bezeichnete Lebenspartnerin im Zeitpunkt des Todes das 40. Lebensjahr zurückgelegt hat und die Lebenspartnerschaft nach lit. a mindestens fünf Jahre ununterbrochen gedauert hat oder eines oder mehrere gemeinsame Kinder mit Anspruch auf Waisenrente vorhanden sind und</w:t>
      </w:r>
    </w:p>
    <w:p>
      <w:r>
        <w:t>d. die versicherte Person der Pensionskasse zu Lebzeiten den Lebenspartner bzw. die Lebenspartnerin schriftlich gemeldet hat. Unterbleibt diese Meldung, besteht kein Anspruch auf Leistungen der Pensionskasse.</w:t>
      </w:r>
    </w:p>
    <w:p>
      <w:r>
        <w:rPr>
          <w:b/>
        </w:rPr>
        <w:t>E. 3</w:t>
      </w:r>
    </w:p>
    <w:p>
      <w:r>
        <w:t>Streitig und zu prüfen ist einzig, ob der Beschwerdeführer seine Lebenspartnerin der Pensionsklasse im Lichte der vorstehenden Reglementsbestimmungen rechtzeitig gemeldet hat.</w:t>
      </w:r>
    </w:p>
    <w:p>
      <w:r>
        <w:rPr>
          <w:b/>
        </w:rPr>
        <w:t>E. 3.1</w:t>
      </w:r>
    </w:p>
    <w:p>
      <w:r>
        <w:t>Da es sich bei der Zuger Pensionskasse um eine Vorsorgeeinrichtung des öffentlichen Rechts handelt, hat die Interpretation von Art. 16 ihres Vorsorgereglements nach den gewöhnlichen Regeln der Gesetzesauslegung zu erfolgen ( BGE 139 V 66 E. 2.1 S. 68, 234 E. 5.1; 138 V 86 E. 5.1 S. 94, 98 E. 5.1). 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145 V 289 E. 4.1 S. 295; 144 V 327 E. 3 S. 331; 142 V 129 E. 5.2.1 S. 134).</w:t>
      </w:r>
    </w:p>
    <w:p>
      <w:r>
        <w:rPr>
          <w:b/>
        </w:rPr>
        <w:t>E. 3.2</w:t>
      </w:r>
    </w:p>
    <w:p>
      <w:r>
        <w:t>Die rein grammatikalische Auslegung von Art. 16 Abs. 2 in Verbindung mit Abs. 1 lit. d Vorsorgereglement ist klar. Im Todesfall einer alters- oder invalidenrentenbeziehenden Person besteht nur dann Anspruch auf eine Lebenspartnerrente, falls (neben anderen Anspruchserfordernissen) die versicherte Person ihren Lebenspartner bzw. ihre Lebenspartnerin der Pensionskasse bereits im Zeitpunkt der erstmaligen Rentenzahlung, spätesten jedoch bis zur Vollendung des 65. Altersjahrs, schriftlich gemeldet hat. Diese eindeutige Lesart wird zusätzlich gestützt durch die systematische Gliederung des in Frage stehenden Art. 16. Während Abs. 1 unter dem Randtitel "Anspruch" steht und sich primär an die aktiven Versicherten richtet, lautet der Randtitel von Abs. 2 "Anspruch von rentenbeziehenden Personen", womit sein Anwendungsbereich umrissen und gleichzeitig unmissverständlich zum Ausdruck gebracht wird, dass für den genannten Personenkreis (zum Teil) abweichende Regeln gelten. Namentlich genügt hier - im Gegensatz zur Rechtslage bei den aktiven Versicherten - eine schriftliche Meldung des Lebenspartners oder der Lebenspartnerin "zu Lebzeiten" (so Art. 16 Abs. 1 lit. d Vorsorgereglement) noch nicht. Nichts anderes ergibt sich aus der weiteren systematischen Einbettung von Art. 16 im Normengefüge des Vorsorgereglements. Vielmehr wird im unmittelbar vorangehenden Art. 15, der die Ehegattenrente an den überlebenden Teil eines Ehepaars regelt, ebenfalls zum Teil nach aktiven Versicherten und rentenbeziehenden Personen differenziert (Abs. 4). Sinn und Zweck dieser Differenzierung oder genauer: des von Art. 16 Abs. 2 für rentenbeziehende Personen aufgestellten zusätzlichen formellen Anspruchserfordernisses liegen auf der Hand. Zum einen soll der Personenkreis, der für eine Lebenspartnerrente in Frage kommt, verringert werden, gleichzeitig trachtet die Pensionskasse danach, ihre beweisrechtliche Ausgangslage bei der Abklärung von Rentenansprüchen zu verbessern. Beide Motive halten vor der Rechtsprechung ohne weiteres stand (E. 2.2 hievor in fine). Die von der streitigen Reglementsbestimmung verankerte Frist, wonach die schriftliche Meldung von Lebenspartnerinnen und Lebenspartnern noch zum Zeitpunkt der erstmaligen Rentenzahlung zu erfolgen hat (bei aufgeschobener Pensionierung nach Art. 3 Abs. 2 Vorsorgereglement spätestens jedoch bis zur Vollendung des 65. Altersjahres), stellt überdies nicht eine blosse Beweisvorschrift dar. Ihr kommt konstitutive Wirkung für den Anspruch auf Lebenspartnerrente zu (vorstehende E. 2.3).</w:t>
      </w:r>
    </w:p>
    <w:p>
      <w:r>
        <w:rPr>
          <w:b/>
        </w:rPr>
        <w:t>E. 3.3</w:t>
      </w:r>
    </w:p>
    <w:p>
      <w:r>
        <w:t>Die Interpretation von Art. 16 Abs. 2 in Verbindung mit Abs. 1 lit. d Vorsorgereglement anhand der Auslegungskriterien des normspezifischen Zwecks und des Bedeutungszusammenhangs mit anderen Vorschriften führt somit zum klaren Ergebnis, dass der Wortlaut den wahren Sinn der Regelung zum Ausdruck bringt. Der Beschwerdeführer, der seine Lebenspartnerin nicht schon im Zeitpunkt der ersten Altersrentenauszahlung von August 2017 meldete, sondern erst im Februar 2018, war nach dem Gesagten verspätet. Seine Beschwerde gegen das entsprechende Feststellungsurteil der Vorinstanz ist unbegründet.</w:t>
      </w:r>
    </w:p>
    <w:p>
      <w:r>
        <w:rPr>
          <w:b/>
        </w:rPr>
        <w:t>E. 4</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