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784/2007 vom 9. Juni 2008</w:t>
      </w:r>
    </w:p>
    <w:p>
      <w:r>
        <w:t>Bundesgericht, 2008-06-09, DE</w:t>
      </w:r>
    </w:p>
    <w:p>
      <w:r>
        <w:rPr>
          <w:b/>
        </w:rPr>
        <w:t xml:space="preserve">Quelle: </w:t>
      </w:r>
      <w:r>
        <w:t>https://mcp.opencaselaw.ch/entscheid/bger_9C_784_2007</w:t>
      </w:r>
    </w:p>
    <w:p>
      <w:r>
        <w:t>FR: TF 9C 784/2007 du 9 juin 2008</w:t>
      </w:r>
    </w:p>
    <w:p>
      <w:r>
        <w:t>IT: TF 9C 784/2007 del 9 giugno 2008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1.2.1</w:t>
      </w:r>
    </w:p>
    <w:p>
      <w:r>
        <w:t>Neue Tatsachen und Beweismittel dürfen im Verfahren vor Bundesgericht nur so weit vorgebracht werden, als erst der Entscheid der Vorinstanz dazu Anlass gibt ( Art. 99 Abs. 1 BGG ). In der Beschwerde ist darzutun, inwiefern diese Voraussetzung für eine nachträgliche Einreichung von Beweismitteln erfüllt sein soll ( BGE 133 III 393 E. 3 S. 395).</w:t>
      </w:r>
    </w:p>
    <w:p>
      <w:r>
        <w:rPr>
          <w:b/>
        </w:rPr>
        <w:t>E. 1.2.2</w:t>
      </w:r>
    </w:p>
    <w:p>
      <w:r>
        <w:t>Der Beschwerdeführer lässt einen vom 30. Oktober 2007 datierten Bericht des behandelnden Arztes Dr. med Q.________, Spezialarzt FMH für Innere Medizin und Rheumatologie, einreichen. Zur Zulässigkeit dieses neuen Beweismittels bringt er vor, die Vorinstanz habe auf eine im Zusatzgutachten enthaltene Prognose abgestellt und - da sich diese als offensichtlich falsch herausgestellt habe - Anlass zum Einreichen dieses Berichtes gegeben. Die Vorinstanz hat indessen keinen Anlass gehabt, die Prognose auf ihre Richtigkeit zu prüfen (vgl. E. 3.1.2), sodass der erst mit der bundesgerichtlichen Beschwerde vorgelegte Bericht unbeachtlich ist. Anzumerken bleibt, dass eine seit der Verfügung vom 17. Januar 2007 angeblich eingetretene Verschlechterung des Gesundheitszustandes allenfalls Grund für eine Neuanmeldung sein könnte.</w:t>
      </w:r>
    </w:p>
    <w:p>
      <w:r>
        <w:rPr>
          <w:b/>
        </w:rPr>
        <w:t>E. 2</w:t>
      </w:r>
    </w:p>
    <w:p>
      <w:r>
        <w:t>Streitig ist, ob dem Beschwerdeführer eine Rente der Invalidenversicherung zusteht. Das kantonale Gericht hat die zur Beurteilung dieses Anspruchs einschlägigen Rechtsgrundlagen zutreffend dargelegt. Darauf wird verwiesen.</w:t>
      </w:r>
    </w:p>
    <w:p>
      <w:r>
        <w:rPr>
          <w:b/>
        </w:rPr>
        <w:t>E. 3</w:t>
      </w:r>
    </w:p>
    <w:p>
      <w:r>
        <w:t>Als erstes ist die Frage zu prüfen, in welchem Ausmass der Beschwerdeführer noch arbeitsfähig ist.</w:t>
      </w:r>
    </w:p>
    <w:p>
      <w:r>
        <w:rPr>
          <w:b/>
        </w:rPr>
        <w:t>E. 3.1</w:t>
      </w:r>
    </w:p>
    <w:p>
      <w:r>
        <w:t>Das kantonale Gericht hat in einlässlicher Würdigung der umfangreichen medizinischen Akten, insbesondere auch der beiden MEDAS-Gutachten, welche die von der Rechtsprechung hinsichtlich Beweistauglichkeit und Beweiskraft aufgestellten Anforderungen ( BGE 125 V 351 E. 3a S. 352) unbestrittenermassen erfüllen, festgestellt, dass der Beschwerdeführer in einer aus körperlicher Sicht angepassten Tätigkeit (Gewichte heben und tragen nicht über 15 kg, mit der Möglichkeit häufigen Positionswechsels und der Vermeidung von nach vorne gebeugter Arbeitshaltung sowie von Überkopf-Arbeiten) zu 100 % arbeitsfähig ist. Was der Beschwerdeführer dagegen vorbringt, vermag diese Tatsachenfeststellungen ( BGE 132 V 393 E. 3.2 S. 397) weder als offensichtlich unrichtig noch sonstwie bundesrechtswidrig erscheinen zu lassen:</w:t>
      </w:r>
    </w:p>
    <w:p>
      <w:r>
        <w:rPr>
          <w:b/>
        </w:rPr>
        <w:t>E. 3.1.1</w:t>
      </w:r>
    </w:p>
    <w:p>
      <w:r>
        <w:t>Der Beschwerdeführer stützt seine Selbsteinschätzung, er sei zu 50 % in der Arbeitsfähigkeit eingeschränkt, zunächst auf die im Zusatzgutachten enthaltene Antwort auf Frage 6: Dort teilen die Gutachter die Ansicht der Ärzte der Klinik für Rheumatologie und Klinische Immunologie/Allergologie des s vom 18. September 2001, dass eine Einschränkung von 50 % seit 27. November 2000 besteht. Aus dem in dieser Antwort enthaltenen Verweis auf den Bericht des Spitals I.________ vom 18. September 2001 geht indessen ohne Weiteres hervor, dass sich diese Arbeitsfähigkeitsbeurteilung auf die bisherige Tätigkeit als Fernsehtechniker im Aussendienst bezieht. Für eine körperlich leichte Arbeit besteht hingegen auch gemäss jenem Bericht eine uneingeschränkte Arbeitsfähigkeit.</w:t>
      </w:r>
    </w:p>
    <w:p>
      <w:r>
        <w:rPr>
          <w:b/>
        </w:rPr>
        <w:t>E. 3.1.2</w:t>
      </w:r>
    </w:p>
    <w:p>
      <w:r>
        <w:t>Weiter beruft er sich auf die Antwort im Zusatzgutachten auf die Frage 13, wonach ihm eine angepasste Arbeit zunächst während 4 bis 5 Stunden pro Tag zumutbar sei, steigerbar auf 100 % nach 6 bis 12 Monaten. Diese Beurteilung scheint in einem gewissen Widerspruch zu den übrigen Feststellungen der Gutachter zu stehen: So wird sowohl in Ziff. B (Beurteilung des Falles und Prognose) und in der Antwort auf Frage 3 des Gutachtens als auch im rheumatologischen Teilgutachten festgehalten, dass der Beschwerdeführer für eine körperlich leichte Arbeit zu 100 % arbeitsfähig sei. Zwar hat die Vorinstanz zu diesem Widerspruch keine Stellung bezogen. Ob, wie der Stellungnahme des RAD vom 19. Dezember 2006 durchaus plausibel entnommen werden kann, sich die Aussage in der Antwort auf Fra-ge 13 wiederum auf die Arbeitsfähigkeit in der bisherigen Tätigkeit beziehe, kann offen bleiben, lässt sich doch der scheinbare Widerspruch auch so auflösen: Die Gutachter weisen in der bereits erwähnten Ziff. B ausdrücklich darauf hin, dass die Prognose zu einem guten Teil von der Motivation des Beschwerdeführers abhänge, eine seinen Einschränkungen angepasste neue Tätigkeit zu finden. Dafür soll ihm offenbar eine Anpassungszeit gewährt werden, was jedoch nicht Aufgabe der Invalidenversicherung ist, da dies im Ergebnis auf eine Sozialrehabilitation hinauslaufen würde ( BGE 127 V 121 E. 3b S. 127). Jedenfalls kann dem Zusatzgutachten kein Hinweis entnommen werden, wonach dem Beschwerdeführer aus gesundheitlichen Gründen nur eine schrittweise Rückkehr in den Arbeitsprozess möglich sein soll. Gegen eine solche Annahme spricht auch, dass im rheumatologischen Teilgutachten festgehalten wird, der Beschwerdeführer sei für eine angepasste Tätigkeit "weiterhin" zu 100 % arbeitsfähig.</w:t>
      </w:r>
    </w:p>
    <w:p>
      <w:r>
        <w:rPr>
          <w:b/>
        </w:rPr>
        <w:t>E. 3.2</w:t>
      </w:r>
    </w:p>
    <w:p>
      <w:r>
        <w:t>Bleibt die vorinstanzliche Feststellung, der Beschwerdeführer sei in einer aus körperlicher Sicht angepassten Tätigkeit vollständig arbeitsfähig, für das Bundesgericht verbindlich, ist die Beschwerde ohne Weiterungen abzuweisen, zumal sich der Beschwerdeführer mit den Erwägungen der Vorinstanz zum gestützt auf diese Prämisse vorgenommenen Einkommensvergleich nicht auseinandersetzt. Auch eine vorübergehende Invalidität liegt nicht vor; die 40%-ige Arbeitsunfähigkeit in der bisherigen Tätigkeit gemäss Art. 29 Abs. 1 lit. b IVG (in der bis 31. Dezember 2007 in Kraft stehenden Fassung) bezieht sich nur auf den Beginn des Rentenanspruchs, nicht auf den Anspruch als solchen.</w:t>
      </w:r>
    </w:p>
    <w:p>
      <w:r>
        <w:rPr>
          <w:b/>
        </w:rPr>
        <w:t>E. 4</w:t>
      </w:r>
    </w:p>
    <w:p>
      <w:r>
        <w:t>Als unterliegende Partei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