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9C_783/2014 vom 19. Juli 2016</w:t>
      </w:r>
    </w:p>
    <w:p>
      <w:r>
        <w:t>Bundesgericht, 2016-07-19, DE</w:t>
      </w:r>
    </w:p>
    <w:p>
      <w:r>
        <w:rPr>
          <w:b/>
        </w:rPr>
        <w:t xml:space="preserve">Quelle: </w:t>
      </w:r>
      <w:r>
        <w:t>https://mcp.opencaselaw.ch/entscheid/bger_9C_783_2014</w:t>
      </w:r>
    </w:p>
    <w:p>
      <w:r>
        <w:t>FR: TF 9C_783/2014 du 19 juillet 2016</w:t>
      </w:r>
    </w:p>
    <w:p>
      <w:r>
        <w:t>IT: TF 9C_783/2014 del 19 luglio 2016</w:t>
      </w:r>
    </w:p>
    <w:p>
      <w:pPr>
        <w:pStyle w:val="Heading2"/>
      </w:pPr>
      <w:r>
        <w:t>Erwägungen</w:t>
      </w:r>
    </w:p>
    <w:p>
      <w:r>
        <w:rPr>
          <w:b/>
        </w:rPr>
        <w:t>E. 1</w:t>
      </w:r>
    </w:p>
    <w:p>
      <w:r>
        <w:t>Der Sistierungsgrund ist spätestens (vgl. Art. 207 Abs. 1 und 2 SchKG ) mit der Löschung der B.________ (in Liquidation) aus dem Handelsregister dahingefallen.</w:t>
      </w:r>
    </w:p>
    <w:p>
      <w:r>
        <w:rPr>
          <w:b/>
        </w:rPr>
        <w:t>E. 2</w:t>
      </w:r>
    </w:p>
    <w:p>
      <w:r>
        <w:t>Die Instruktionsrichterin (hier als Präsidentin) entscheidet als Einzelrichterin über die Abschreibung von Verfahren zufolge Gegenstandslosigkeit, Rückzugs oder Vergleichs ( Art. 32 Abs. 2 BGG ). Sie erklärt den Rechtsstreit (allenfalls nach Vernehmlassung der Parteien) ohne weitere Parteiverhandlung als erledigt und entscheidet mit summarischer Begründung über die Prozesskosten auf Grund der Sachlage vor Eintritt des Erledigungsgrundes ( Art. 72 BZP i.V.m. Art. 71 BGG ). Die Instruktionsrichterin kann die unentgeltliche Rechtspflege selbst gewähren, wenn keine Zweifel bestehen, dass die Voraussetzungen erfüllt sind ( Art. 64 Abs. 3 BGG ).</w:t>
      </w:r>
    </w:p>
    <w:p>
      <w:r>
        <w:rPr>
          <w:b/>
        </w:rPr>
        <w:t>E. 3</w:t>
      </w:r>
    </w:p>
    <w:p>
      <w:r>
        <w:t>Es steht fest, dass der Beschwerdeführer in Bezug auf die eingeklagte - und als bestritten geltende (vgl. Art. 265 Abs. 1 SchKG ) - Forderung eine Konkursdividende von Fr. 169.10 sowie einen Verlustschein über den Betrag von Fr. 4'559.15 erhielt, und dass die (ehemalige) Beschwerdegegnerin am 13. Juli 2016 aus dem Handelsregister gelöscht wurde.</w:t>
      </w:r>
    </w:p>
    <w:p>
      <w:r>
        <w:t>Bei dieser Sachlage kann die streitige Verpflichtung keinem Rechtssubjekt mehr zugeordnet werden. Der Prozess ist daher infolge Gegenstandslosigkeit ohne Urteil abzuschliessen. Dadurch wird vermieden, dass der angefochtene vorinstanzliche Entscheid in materielle Rechtskraft erwächst (SVR 2008 IV Nr. 55 S. 182, I 545/04 E. 3 mit Hinweis).</w:t>
      </w:r>
    </w:p>
    <w:p>
      <w:r>
        <w:rPr>
          <w:b/>
        </w:rPr>
        <w:t>E. 4</w:t>
      </w:r>
    </w:p>
    <w:p>
      <w:r>
        <w:t>Es rechtfertigt sich, umständehalber auf die Erhebung von Gerichtskosten zu verzichten ( Art. 66 Abs. 1 Satz 2 BGG ). Soweit dadurch nicht gegenstandslos geworden, kann dem Gesuch um unentgeltliche Rechtspflege entsprochen werden: Die Beschwerde war nicht aussichtslos und die weiteren Voraussetzungen um unentgeltliche Verbeiständung ( Art. 64 BGG ) sind gegeben. Eine allfällige Parteientschädigung ist von der ehemaligen, aus dem Handelsregister gelöschten Beschwerdegegnerin von vornherein nicht erhältlich, weshalb sich Weiterungen betreffend den mutmasslichen Prozessausgang, wenn der Erledigungsgrund nicht eingetreten wäre (E. 2), erübrigen.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