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9C_782/2019 vom 15. April 2020</w:t>
      </w:r>
    </w:p>
    <w:p>
      <w:r>
        <w:t>Bundesgericht, 2020-04-15, DE</w:t>
      </w:r>
    </w:p>
    <w:p>
      <w:r>
        <w:rPr>
          <w:b/>
        </w:rPr>
        <w:t xml:space="preserve">Quelle: </w:t>
      </w:r>
      <w:r>
        <w:t>https://mcp.opencaselaw.ch/entscheid/bger_9C_782_2019</w:t>
      </w:r>
    </w:p>
    <w:p>
      <w:r>
        <w:t>FR: TF 9C_782/2019 du 15 avril 2020</w:t>
      </w:r>
    </w:p>
    <w:p>
      <w:r>
        <w:t>IT: TF 9C_782/2019 del 15 aprile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hat - gestützt auf das SMAB-Gutachten vom 29. September 2017 - eine Arbeitsfähigkeit von 70 % bis 80 % in leidensangepasster Tätigkeit festgestellt. Ausgehend von einem Valideneinkommen von Fr. 75'331.- und Invalideneinkommen von Fr. 42'242.75 (Abzug vom Tabellenlohn: 10 %, Arbeitsfähigkeit: 70 %) respektive Fr. 45'260.10 (Abzug vom Tabellenlohn: 10 %, Arbeitsfähigkeit: 75 %) hat sie Invaliditätsgrade von 44 % bzw. 40 % ermittelt und den Anspruch auf eine Viertelsrente ab November 2016 bejaht.</w:t>
      </w:r>
    </w:p>
    <w:p>
      <w:r>
        <w:rPr>
          <w:b/>
        </w:rPr>
        <w:t>E. 2.2</w:t>
      </w:r>
    </w:p>
    <w:p>
      <w:r>
        <w:t>Unbestritten ist zu Recht, dass bei der Ermittlung des Invalideneinkommens von einer Arbeitsfähigkeit von 75 % (Mittelwert der gutachterlich attestierten Arbeitsfähigkeit von 70 % bis 80 %, Expertise S. 15) auszugehen ist (vgl. Urteil 9C_280/2010 vom 12. April 2011 E. 4.2, nicht publ. in: BGE 137 V 71 , aber in: Pra 2011 Nr. 91 S. 651; Urteil des Eidg. Versicherungsgerichts I 822/04 vom 21. April 2005 E. 4.4). Bestritten bleibt damit einzig der vom kantonalen Gericht gewährte Abzug vom Tabellenlohn in der Höhe von 10 %.</w:t>
      </w:r>
    </w:p>
    <w:p>
      <w:r>
        <w:rPr>
          <w:b/>
        </w:rPr>
        <w:t>E. 3.1.1</w:t>
      </w:r>
    </w:p>
    <w:p>
      <w:r>
        <w:t>Wird das Invalideneinkommen auf der Grundlage der Schweizerischen Lohnstrukturerhebungen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w:t>
      </w:r>
    </w:p>
    <w:p>
      <w:r>
        <w:rPr>
          <w:b/>
        </w:rPr>
        <w:t>E. 3.1.2</w:t>
      </w:r>
    </w:p>
    <w:p>
      <w:r>
        <w:t>Ob ein (behinderungsbedingter oder anderweitig begründeter) Abzug vom hypothetischen Invalideneinkommen vorzunehmen sei, ist eine Rechtsfrage (vgl. BGE 137 V 71 E. 5.1 S. 72 f.; Urteil 8C_557/2018 vom 18. Dezember 2018 E. 3.4).</w:t>
      </w:r>
    </w:p>
    <w:p>
      <w:r>
        <w:rPr>
          <w:b/>
        </w:rPr>
        <w:t>E. 3.2</w:t>
      </w:r>
    </w:p>
    <w:p>
      <w:r>
        <w:t>Das kantonale Gericht hat den Abzug vom Tabellenlohn im Umfang von 10 % damit begründet, dass Teilzeitarbeit bei Männern statistisch gesehen vergleichweise weniger gut entlöhnt werde als eine Vollzeittätigkeit (vorinstanzliche Erwägung 4.6. S. 11). Diesbezüglich ist jedoch darauf hinzuweisen, dass der Entscheid betreffend einen Abzug in gesamthafter Würdigung des konkreten Einzelfalles zu erfolgen hat. Zur Beantwortung der Frage, ob ein Abzug infolge Teilzeitarbeit zu gewähren ist, ist sodann praxisgemäss die LSE-Tabelle T18 heranzuziehen (vgl. statt vieler: Urteil 8C_712/2019 vom 12. Februar 2020 E. 5.2.2 mit Hinweisen). Mit Blick hierauf verdienten Männer ohne Kaderfunktion im Pensum von 75 % überdurchschnittlich (LSE-Tabelle T18, 2014). Die leidensbedingten Einschränkungen werden sodann bereits im Rahmen der um 25 % verminderten Arbeitsfähigkeit berücksichtigt und rechtfertigen daher keinen Abzug (vgl. statt vieler: Urteil 9C_233/2018 vom 11. April 2019 E. 3.2 mit Hinweisen). Der Beschwerdegegner verfügt weiter über eine Niederlassungsbewilligung, was zu einer leicht unterdurchschnittlichen Entlöhnung führt (LSE-Tabelle TA12, 2014). Beim Heranziehen des statistischen Durchschnittslohns für Hilfsarbeitertätigkeiten - wie vorliegend (vorinstanzliche Erwägung 4.5. S. 10) - ist ferner der Faktor der fehlenden Dienstjahre zu vernachlässigen (Urteile 8C_35/2019 vom 2. Juli 2019 E. 6.3; 8C_49/2018 vom 8. November 2018 E. 6.2.2.2; 8C_653/2016 vom 16. Januar 2017 E. 5.2). Der Beschwerdegegner war 2015 schliesslich 45 Jahre alt. Dies wirkte sich lohnerhöhend aus (LSE-Tabelle TA9, 2014). Mit Blick auf sämtliche relevanten Merkmale rechtfertigt sich vorliegend kein Abzug vom Tabellenlohn. Diesbezüglich verletzt der vorinstanzliche Entscheid Bundesrecht.</w:t>
      </w:r>
    </w:p>
    <w:p>
      <w:r>
        <w:t>Unter Anrechnung eines zumutbaren Pensums von 75 % (vgl. E. 2.2) resultiert ein Invalideneinkommen von Fr. 50'289.- (67'052.- [vorinstanzliche Erwägung 4.5. S. 10] x 0.75).</w:t>
      </w:r>
    </w:p>
    <w:p>
      <w:r>
        <w:rPr>
          <w:b/>
        </w:rPr>
        <w:t>E. 4</w:t>
      </w:r>
    </w:p>
    <w:p>
      <w:r>
        <w:t>Eine Gegenüberstellung des unbestrittenen Valideneinkommens (Fr. 75'331.-, vorinstanzliche Erwägung 4.4. S. 10) mit den Invalideneinkommen (Fr. 50'289.-, E. 3.2) führt zu einer Erwerbseinbusse von Fr. 25'042.- und damit zu einem Invaliditätsgrad von 33 % (25'042.-/75'331.-, vgl. zur Rundung BGE 130 V 121 ). Ein Rentenanspruch resultiert somit nicht. Die Beschwerde ist begründet.</w:t>
      </w:r>
    </w:p>
    <w:p>
      <w:r>
        <w:rPr>
          <w:b/>
        </w:rPr>
        <w:t>E. 5</w:t>
      </w:r>
    </w:p>
    <w:p>
      <w:r>
        <w:t>Mit dem Urteil in der Sache wird das Gesuch um Gewährung der aufschiebenden Wirkung gegenstandslos.</w:t>
      </w:r>
    </w:p>
    <w:p>
      <w:r>
        <w:rPr>
          <w:b/>
        </w:rPr>
        <w:t>E. 6</w:t>
      </w:r>
    </w:p>
    <w:p>
      <w:r>
        <w:t>Der unterliegende Beschwerdegegner trägt die Verfahrenskosten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