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9C_77/2021 vom 4. März 2021</w:t>
      </w:r>
    </w:p>
    <w:p>
      <w:r>
        <w:t>Bundesgericht, 2021-03-04, DE</w:t>
      </w:r>
    </w:p>
    <w:p>
      <w:r>
        <w:rPr>
          <w:b/>
        </w:rPr>
        <w:t xml:space="preserve">Quelle: </w:t>
      </w:r>
      <w:r>
        <w:t>https://mcp.opencaselaw.ch/entscheid/bger_9C_77_2021</w:t>
      </w:r>
    </w:p>
    <w:p>
      <w:r>
        <w:t>FR: TF 9C_77/2021 du 4 mars 2021</w:t>
      </w:r>
    </w:p>
    <w:p>
      <w:r>
        <w:t>IT: TF 9C_77/2021 del 4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BGE 133 III 545 E. 2.2 S. 550;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S. 287).</w:t>
      </w:r>
    </w:p>
    <w:p>
      <w:r>
        <w:rPr>
          <w:b/>
        </w:rPr>
        <w:t>E. 2</w:t>
      </w:r>
    </w:p>
    <w:p>
      <w:r>
        <w:t>Streitig und zu prüfen ist, ob das kantonale Gericht Bundesrecht verletzte, als es mangels Revisionsgrundes eine Reduktion der Invalidenrente der Beschwerdegegnerin von einer ganzen auf eine Viertelsrente ablehnte.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Gemäss Art. 28a Abs. 1 IVG ist für die Bemessung der Invalidität von erwerbstätigen Versicherten Art. 16 ATSG anwendbar. Bei nicht erwerbstätigen Versicherten, die im Aufgabenbereich tätig sind und denen die Aufnahme einer Erwerbstätigkeit nicht zugemutet werden kann, wird für die Bemessung der Invalidität nach Art. 28a Abs. 2 IVG in Abweichung von Art. 16 ATSG darauf abgestellt, in welchem Masse sie unfähig sind, sich im Aufgabenbereich zu betätigen. Bei Versicherten, die nur zum Teil erwerbstätig sind oder die unentgeltlich im Betrieb des Ehegatten oder der Ehegattin mitarbeiten, wird gemäss Art. 28a Abs. 3 IVG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 "gemischte Methode" der Invaliditätsbemessung).</w:t>
      </w:r>
    </w:p>
    <w:p>
      <w:r>
        <w:rPr>
          <w:b/>
        </w:rPr>
        <w:t>E. 3.3</w:t>
      </w:r>
    </w:p>
    <w:p>
      <w:r>
        <w:t>Ändert sich der Invaliditätsgrad einer Rentenbezügerin oder eines Rentenbezügers erheblich, so wird die Rente nach Art. 17 Abs. 1 ATSG von Amtes wegen oder auf Gesuch hin für die Zukunft entsprechend erhöht, herabgesetzt oder aufgehoben (sog. "Rentenrevision").</w:t>
      </w:r>
    </w:p>
    <w:p>
      <w:r>
        <w:t>Steht mit dem Beweisgrad der überwiegenden Wahrscheinlichkeit fest, dass eine bisher ausschliesslich erwerbstätige versicherte Person ohne Gesundheitsschaden neu nur noch teilweise erwerbstätig wäre und sich daneben neu in einem Aufgabereich im Sinne von Art. 28a IVG betätigen würde, so stellt ein solcher Statuswechsel gleichzeitig ein Revisionsgrund im Sinne von Art. 17 Abs. 1 ATSG dar (vgl. Urteil 9C_82/2020 vom 27. Oktober 2020, zur Publikation vorgesehen).</w:t>
      </w:r>
    </w:p>
    <w:p>
      <w:r>
        <w:rPr>
          <w:b/>
        </w:rPr>
        <w:t>E. 4.1</w:t>
      </w:r>
    </w:p>
    <w:p>
      <w:r>
        <w:t>Das kantonale Gericht hat im Wesentlichen erwogen, dass die Beschwerdegegnerin im Gesundheitsfall auch nach der Geburt ihrer Zwillinge ihre Erwerbstätigkeit überwiegend wahrscheinlich nicht aufgegeben hätte, sondern vielmehr weiterhin einer 100%igen Erwerbstätigkeit nachgegangen wäre. Sei somit nicht von einem Statuswechsel auszugehen, so entfalle auch ein Revisionsgrund; entsprechend sei die bisherige Rente unverändert weiter auszurichten. Die beschwerdeführende IV-Stelle bringt dagegen vor, die Annahme einer unveränderten vollen Erwerbstätigkeit beruhe auf einer willkürlichen Beweiswürdigung.</w:t>
      </w:r>
    </w:p>
    <w:p>
      <w:r>
        <w:rPr>
          <w:b/>
        </w:rPr>
        <w:t>E. 4.2</w:t>
      </w:r>
    </w:p>
    <w:p>
      <w:r>
        <w:t>Die Frage,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 BGE 139 V 28 E. 3.3.2 S. 30; Urteil 9C_868/2019 vom 22. August 2019 E. 3.2). Die diesbezüglichen Feststellungen des kantonalen Gerichts sind daher, auch wenn es sich um eine auf Indizien gestützte Sachverhaltsfeststellung handelt, für das Bundesgericht grundsätzlich verbindlich (vgl. auch Urteil 8C_402/2020 vom 11. September 2020 E. 4.3), ausser sie seien offensichtlich unrichtig oder beruhten auf einer Rechtsverletzung nach Art. 95 BGG (vgl. E. 1.2 f.).</w:t>
      </w:r>
    </w:p>
    <w:p>
      <w:r>
        <w:rPr>
          <w:b/>
        </w:rPr>
        <w:t>E. 4.3</w:t>
      </w:r>
    </w:p>
    <w:p>
      <w:r>
        <w:t>Was die Beschwerdeführerin gegen die vorinstanzlichen Sachverhaltsfeststellungen vorbringt, vermag diese nicht als bundesrechtswidrig erscheinen zu lassen. Selbst wenn die Beschwerdegegnerin ihre Tätigkeit im geschützten Rahmen mit geringen Verdienstmöglichkeiten im Jahre 2013 zugunsten einer Haushaltstätigkeit aufgegeben haben sollte, könnte daraus nicht gefolgert werden, sie hätte auch ohne gesundheitliche Beeinträchtigung bei einer regulär bezahlten Stelle im ersten Arbeitsmarkt gleich gehandelt. Entsprechend erübrigt sich eine nähere Untersuchung der Gründe für die Aufgabe der Arbeitsstelle. Weiter erscheint es zumindest nicht als willkürlich, wenn die Vorinstanz ein entsprechendes Abstraktionsvermögen der Versicherten verneint und ihrer Antwort auf diese Frage gemäss dem Fragebogen vom 9. Mai 2016 keine entscheiderhebliche Bedeutung zugemessen hat. Dies gilt umso mehr, als auch die übrigen Antworten der Versicherten - deren gesundheitliche Beeinträchtigungen bereits seit Kindheit bestehen und die entsprechend keine Erfahrungen zum Leben als gesunde Erwachsene mitbringt - in diesem Fragebogen Inkonsistenzen aufweisen. Offen bleiben kann schliesslich, ob das kantonale Gericht den Ehemann der Beschwerdegegnerin als "Langzeitarbeitslosen" qualifizieren durfte, steht doch so oder anders unbestrittenermassen fest, dass die finanziellen Verhältnisse der Versicherten für eine Beibehaltung einer vollen Erwerbstätigkeit im Gesundheitsfall sprechen. Zusammenfassend ist somit entgegen den Ausführungen der Beschwerdeführerin nicht ersichtlich, dass das kantonale Gericht Sinn und Tragweite eines Beweismittels offensichtlich verkannt hat oder dass es ohne sachlichen Grund ein wichtiges und entscheidwesentliches Beweismittel unberücksichtigt gelassen oder auf der Grundlage der festgestellten Tatsachen unhaltbare Schlussfolgerungen gezogen hat (vgl. E. 1.3 hievor).</w:t>
      </w:r>
    </w:p>
    <w:p>
      <w:r>
        <w:rPr>
          <w:b/>
        </w:rPr>
        <w:t>E. 4.4</w:t>
      </w:r>
    </w:p>
    <w:p>
      <w:r>
        <w:t>Da ein anderer Revisionsgrund im Sinne von Art. 17 Abs. 1 ATSG als der von der Vorinstanz bundesrechtskonfrom verneinte Statuswechsel weder geltend gemacht noch ersichtlich ist, hat die Versicherte weiterhin Anspruch auf eine unveränderte ganze Rente der Invalidenversicherung. Der entsprechende vorinstanzliche Entscheid besteht demnach zu Recht; die Beschwerde der IV-Stelle ist abzuweisen.</w:t>
      </w:r>
    </w:p>
    <w:p>
      <w:r>
        <w:rPr>
          <w:b/>
        </w:rPr>
        <w:t>E. 5.1</w:t>
      </w:r>
    </w:p>
    <w:p>
      <w:r>
        <w:t>Dem Verfahrensausgang entsprechend sind die Gerichtskosten der unterliegenden Beschwerdeführerin aufzuerlegen ( Art. 66 Abs. 1 Satz 1 BGG ). Da die Beschwerde ohne Durchführung eines Schriftenwechsels erledigt wird (vgl. Art. 102 Abs. 1 BGG e contrario) und der Beschwerdegegnerin damit kein entschädigungspflichtiger Aufwand entstanden ist, ist von der Zusprache einer Parteientschädigung abzusehen.</w:t>
      </w:r>
    </w:p>
    <w:p>
      <w:r>
        <w:rPr>
          <w:b/>
        </w:rPr>
        <w:t>E. 5.2</w:t>
      </w:r>
    </w:p>
    <w:p>
      <w:r>
        <w:t>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