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9C_777/2019 vom 24. November 2020</w:t>
      </w:r>
    </w:p>
    <w:p>
      <w:r>
        <w:t>Bundesgericht, 2020-11-24, DE</w:t>
      </w:r>
    </w:p>
    <w:p>
      <w:r>
        <w:rPr>
          <w:b/>
        </w:rPr>
        <w:t xml:space="preserve">Quelle: </w:t>
      </w:r>
      <w:r>
        <w:t>https://mcp.opencaselaw.ch/entscheid/bger_9C_777_2019</w:t>
      </w:r>
    </w:p>
    <w:p>
      <w:r>
        <w:t>FR: TF 9C_777/2019 du 24 novembre 2020</w:t>
      </w:r>
    </w:p>
    <w:p>
      <w:r>
        <w:t>IT: TF 9C_777/2019 del 24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Im angefochtenen Entscheid werden die Grundlagen für die Ansprüche auf Hilflosenentschädigung ( Art. 9 ATSG , Art. 42 ff. IVG , Art. 37 IVV [SR 831.201]; BGE 133 V 450 E. 7.2 S. 463) und Intensivpflegezuschlag ( Art. 42ter Abs. 3 IVG , Art. 36 und 39 IVV ) sowie auf Assistenzbeitrag ( Art. 42quater Abs. 3 IVG i.V.m. Art. 39a IVV ) zutreffend dargelegt. Darauf wird verwiesen. Der Anspruch auf medizinische Massnahmen richtet sich nach den Bestimmungen von Art. 12 ff. IVG ; bei im Ausland durchgeführten Massnahmen für obligatorisch Versicherte ist Art. 23bis IVV zu beachten.</w:t>
      </w:r>
    </w:p>
    <w:p>
      <w:r>
        <w:rPr>
          <w:b/>
        </w:rPr>
        <w:t>E. 3</w:t>
      </w:r>
    </w:p>
    <w:p>
      <w:r>
        <w:t>Die Vorinstanz hat erwogen, dass der Versicherte in sämtlichen sechs alltäglichen Lebensverrichtungen auf altersunübliche Dritthilfe angewiesen sei. Damit sei nicht von einer mittleren, sondern von einer schweren Hilflosigkeit und einem entsprechend höheren Entschädigungsanspruch auszugehen. Sodann hat sie den täglichen Mehraufwand für die Pflege (resp. Betreuung) auf 601 Minuten festgelegt und davon die Leistungen der Kinderspitex B.________ im Umfang von 557 Minuten abgezogen. Beim verbleibenden Mehraufwand von täglich 44 Minuten hat sie den Anspruch auf einen Pflegezuschlag verneint. Weiter hat das kantonale Gericht einen Anspruch auf Assistenzbeitrag verneint, weil es keine der besonderen Voraussetzungen für Minderjährige - Anspruch auf Pflegezuschlag, Schulbesuch, Ausbildung oder Erwerbstätigkeit - als gegeben erachtet hat. Ausserdem hat es die beantragte stationäre einwöchige Intensivtherapie nach Konzept Padovan in Deutschland verweigert mit der Begründung, eine Behandlung nach dieser Methode sei auch in der Schweiz möglich, und es fehlten beachtliche Gründe für die Durchführung der Massnahme im Ausland. Schliesslich hat die Vorinstanz in Bezug auf medizinische Pflege durch Angehörige erwogen, zwar seien die Tante und Grossmutter des Versicherten an dessen Pflege beteiligt und bei der C.________ GmbH angestellte diplomierte Pflegefachfrauen. Indessen seien sie keine anerkannten Leistungserbringerinnen. Die in der Krankenversicherung geltenden Grundsätze (vgl. BGE 145 V 161 E. 5 S. 165 ff.) liessen sich nicht ohne Weiteres auf die Invalidenversicherung übertragen. Zudem werde der Mehraufwand der Angehörigen bereits im Rahmen der Hilflosenentschädigung und der persönlichen Überwachung berücksichtigt, weshalb diesbezüglich kein Leistungsanspruch bestehe.</w:t>
      </w:r>
    </w:p>
    <w:p>
      <w:r>
        <w:t>Streitig (vgl. zur Auslegung der Rechtsbegehren im Lichte der Beschwerdebegründung Urteil 8C_62/2018 vom 19. September 2018 E. 1.2.2, nicht publ. in: BGE 144 V 418 ) ist einzig, ob einerseits (dazu nachfolgend E. 4) bei der Hilflosenentschädigung ein Intensivpflegezuschlag zu gewähren ist und (folglich) Anspruch auf einen Assistenzbeitrag besteht, und ob anderseits (dazu nachfolgend E. 5) die C.________ GmbH mit zwei bei ihr angestellten Angehörigen des Versicherten - Grossmutter und Tante - Pflegeleistungen zu Lasten der Invalidenversicherung erbringen darf.</w:t>
      </w:r>
    </w:p>
    <w:p>
      <w:r>
        <w:rPr>
          <w:b/>
        </w:rPr>
        <w:t>E. 4.1</w:t>
      </w:r>
    </w:p>
    <w:p>
      <w:r>
        <w:t>Gemäss Art. 42ter Abs. 3 IVG (in der bis Ende 2017 geltenden resp. aktuellen Fassung)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60 resp. 100 %, bei einem solchen von mindestens sechs Stunden pro Tag 40 resp. 70 % und bei einem solchen von mindestens vier Stunden pro Tag 20 resp. 40 % des Höchstbetrages der Altersrente nach Art. 34 Abs. 3 und 5 AHVG . Der Zuschlag berechnet sich pro Tag. Der Bundesrat regelt im Übrigen die Einzelheiten.</w:t>
      </w:r>
    </w:p>
    <w:p>
      <w:r>
        <w:t>Nach Art. 39 IVV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t>Im Kreisschreiben des BSV über Invalidität und Hilflosigkeit in der Invalidenversicherung (KSIH) werden die in Art. 39 Abs. 2 und 3 IVV geregelten Tatbestände konkretisiert (vgl. zur Tragweite von Weisungen der Aufsichtsbehörde BGE 136 V 16 E. 5.1.2 in fine S. 20 und 133 V 257 E. 3.2 S. 258; vgl. auch nachfolgende E. 4.3).</w:t>
      </w:r>
    </w:p>
    <w:p>
      <w:r>
        <w:rPr>
          <w:b/>
        </w:rPr>
        <w:t>E. 4.2</w:t>
      </w:r>
    </w:p>
    <w:p>
      <w:r>
        <w:t>Aus dem Abklärungsbericht über die Hilflosigkeit und den Betreuungsaufwand vom 28. März 2018 geht Folgendes hervor (vgl. auch die verbindlichen Feststellungen in E. 7.9.1 und 7.9.4 des angefochtenen Entscheids) : Der Versicherte atmet über ein Tracheostoma resp. eine Trachealkanüle; wenn diese (etwa durch Sekret) verstopft ist, besteht Lebensgefahr. Wenn nicht rechtzeitig interveniert wird, erleidet der Versicherte eine Panikattacke und reisst sich dabei die Kanüle heraus. Um das Ersticken zu vermeiden, muss immer wieder Sekret abgesaugt werden; jederzeit muss mit der plötzlichen Notwendigkeit einer Sauerstoffabgabe oder Beatmung mit dem Ambubeutel gerechnet werden. Der Versicherte kann sich nicht verbal bemerkbar machen. Er ist immer in Sicht- und Hörweite einer Überwachungsperson; nachts wird er mittels Monitor überwacht.</w:t>
      </w:r>
    </w:p>
    <w:p>
      <w:r>
        <w:t>In diesem Zusammenhang hat die Vorinstanz in Anwendung von Art. 39 Abs. 3 IVV den Bedarf einer besonders intensiven Überwachung im Umfang von vier Stunden anerkannt. Der Beschwerdeführer macht geltend, damit er nicht ersticke, bedürfe er rund um die Uhr der Überwachung und sofortigen Interventionsbereitschaft einer geeigneten Person. Der ständige Interventionsbedarf sei nicht als Überwachung, sondern als (Behandlungs-) Pflege im Sinne von Art. 39 Abs. 2 IVV zu qualifizieren. Das ist als Rechtsfrage (vgl. E. 1) zu prüfen.</w:t>
      </w:r>
    </w:p>
    <w:p>
      <w:r>
        <w:rPr>
          <w:b/>
        </w:rPr>
        <w:t>E. 4.3</w:t>
      </w:r>
    </w:p>
    <w:p>
      <w:r>
        <w:t>Der in Art. 42ter Abs. 2 IVG und Art. 39 Abs. 1 IVV verwendete Begriff der "Betreuung" umfasst die Grund- und die Behandlungspflege gemäss Art. 39 Abs. 2 IVV sowie die Überwachung gemäss Art. 39 Abs. 3 IVV . Die Tragweite der Grund- und Behandlungspflege im Sinn dieser Bestimmungen ergibt sich in Anlehnung an die (beim Erlass von Art. 39 IVV am 21. Mai 2003 geltenden) Vorgaben von Art. 7 Abs. 2 lit. b und c der Verordnung vom 29. September 1995 über Leistungen in der obligatorischen Krankenpflegeversicherung (Krankenpflege-Leistungsverordnung, KLV; SR 832.112.31) . Der Bundesrat als Verordnungsgeber verzichtete auf einen ausdrücklichen Verweis auf die KLV, um der Konkretisierung auf Weisungsebene (KSIH) Vorrang einzuräumen. Damit bezweckte er, der Invalidenversicherung einen grösseren Handlungsspielraum und die Unabhängigkeit von allfälligen Veränderungen innerhalb der Krankenversicherung zu sichern (Erläuterungen des BSV zu den Änderungen der IVV vom 21. Mai 2003, insbesondere zu Art. 39, in: AHI-Praxis 5/2003 S. 329).</w:t>
      </w:r>
    </w:p>
    <w:p>
      <w:r>
        <w:rPr>
          <w:b/>
        </w:rPr>
        <w:t>E. 4.4.1</w:t>
      </w:r>
    </w:p>
    <w:p>
      <w:r>
        <w:t>Gemäss Rz. 8075 KSIH gehören zu den pflegerischen Massnahmen insbesondere das Spülen, Reinigen und Versorgen von Wunden und Körperhöhlen (einschliesslich Massnahmen bei Stomaträgern), Massnahmen zur Atemtherapie (wie Sauerstoffverabreichung, Inhalation, einfache Atemübungen) und solche zur medizinisch-technischen Überwachung (Infusionen und Transfusionen; Überwachung von Geräten, die der Kontrolle und Erhaltung von vitalen Funktionen dienen). Laut Rz. 8077.3 KSIH (vgl. auch IV-Rundschreiben Nr. 394 vom 12. Dezember 2019 zu Kinderspitex-Leistungen nach Art. 13 f. IVG) kann im Rahmen einer medizinischen Massnahme eine Langzeitüberwachung zugesprochen werden.</w:t>
      </w:r>
    </w:p>
    <w:p>
      <w:r>
        <w:rPr>
          <w:b/>
        </w:rPr>
        <w:t>E. 4.4.2</w:t>
      </w:r>
    </w:p>
    <w:p>
      <w:r>
        <w:t>Nach Art. 7 Abs. 2 lit. b KLV (der in den hier interessierenden Punkten keine Änderung erfuhr) gelten als Massnahmen der Untersuchung und Behandlung insbesondere die Messung der Vitalzeichen (Puls, Blutdruck, Temperatur, Atem, Gewicht; Ziff. 1), Massnahmen zur Atemtherapie (wie O2 -Verabreichung, Inhalation, einfache Atemübungen, Absaugen; Ziff. 4) und Massnahmen zur Überwachung von Infusionen, Transfusionen und Geräten, die der Behandlung oder der Kontrolle und Erhaltung von vitalen Funktionen dienen (Ziff. 9).</w:t>
      </w:r>
    </w:p>
    <w:p>
      <w:r>
        <w:t>Im Lichte dieser Bestimmungen bestätigte das Bundesgericht die Qualifikation der nächtlichen Beatmungsüberwachung einer am Undine-Syndrom leidenden Versicherten als Behandlungspflege ( BGE 142 V 144 E. 5.2 S. 150). Im Urteil 9C_43/2012 vom 12. Juli 2012 E. 4.1 wurden "tote Zeiten", die im Zusammenhang mit Behandlungspflege (im engeren Sinn) anfielen, als nicht blosse Überwachung qualifiziert. Auch im (die Unfallversicherung betreffenden) Urteil 8C_457/2014 vom 5. September 2014 E. 3.2 wurde die Überwachung der Beatmung als medizinische Pflegeleistung anerkannt. Entscheidend war dabei jeweils, dass auch in "toten" Zeiten (Zeiten ohne Vornahme von pflegerischen oder medizinischen Massnahmen) eine stetige Interventionsbereitschaft (durch medizinisch geschultes Personal) gewährleistet sein musste, und die notwendigen Interventionen bzw. behandlungspflegerischen Massnahmen weder planbar waren noch durch ein Alarmsystem organisiert werden konnten.</w:t>
      </w:r>
    </w:p>
    <w:p>
      <w:r>
        <w:rPr>
          <w:b/>
        </w:rPr>
        <w:t>E. 4.5</w:t>
      </w:r>
    </w:p>
    <w:p>
      <w:r>
        <w:t>In concreto geht es um Massnahmen im Zusammenhang mit der Atmung über die Trachealkanüle, die ohne Weiteres unter die soeben (in E. 4.4) genannten Vorgaben de s KSIH und der KLV zu subsumieren sind. Diese Massnahmen sind nicht planbar und können auch nicht durch ein Alarmsystem organisiert werden; sie erfordern eine stetige unmittelbare Interventionsbereitschaft und vorgängig eine medizinische Schulung der damit betrauten Personen. Dem Beschwerdeführer ist somit beizupflichten, dass die in diesem Zusammenhang notwendige Überwachung der Atmung als Pflegeleistung im Sinn von Art. 39 Abs. 2 IVV und nicht als Überwachung gemäss Art. 39 Abs. 3 IVV zu berücksichtigen ist. Dies erkannte denn auch die IV-Stelle (implizit), als sie bei der Kostengutsprache für medizinische Massnahmen (Mitteilung vom 9. Oktober 2017) wöchentlich sechs Nachteinsätze der Kinderspitex zu je acht Stunden bewilligte.</w:t>
      </w:r>
    </w:p>
    <w:p>
      <w:r>
        <w:t>Damit erübrigen sich Ausführungen zur - in der Beschwerde ebenfalls aufgeworfenen - Frage, ob die in Art. 39 Abs. 3 IVV auf vier Stunden begrenzte Anrechenbarkeit der Überwachung verfassungs- und gesetzmässig ist. Die IV-Stelle wird festzulegen haben, in welchem Umfang die Überwachung der Atmung als Pflegemassnahme bei der Betreuung - insbesondere mit Blick auf den Mehraufwand gegenüber gleichaltrigen nicht behinderten Kindern (vgl. Art. 39 Abs. 1 und 2 IVV ; Rz. 8074 KSIH) - zu berücksichtigen ist. Anschliessend wird sie über den Intensivpflegezuschlag resp. über die Höhe der Entschädigung für schwere (vgl. vorangehende E. 3) Hilflosigkeit eine neue Verfügung erlassen. Sodann wird sie im Lichte von Art. 39a lit. c IVV i.V.m. Art. 42quater Abs. 3 IVG und gegebenenfalls der weiteren Voraussetzungen erneut über den Anspruch auf Assistenzbeitrag zu befinden haben.</w:t>
      </w:r>
    </w:p>
    <w:p>
      <w:r>
        <w:rPr>
          <w:b/>
        </w:rPr>
        <w:t>E. 5.1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 mit Hinweisen).</w:t>
      </w:r>
    </w:p>
    <w:p>
      <w:r>
        <w:t>Im Zusammenhang mit der C.________ GmbH und der Anstellung der pflegenden Angehörigen bei dieser reicht der Beschwerdeführer Unterlagen ein, die sich nicht in den vorinstanzlichen Akten befinden (Bestätigungen vom 21. Februar und 21. März 2017 sowie vom 2. Februar 2018, Pflegefachdiplom, Schreiben vom 20. Februar 2018). Weshalb er diese Akten und die entsprechenden Behauptungen nicht im vorinstanzlichen Verfahren einbrachte, wird nicht begründet und ist auch nicht ersichtlich; sie bleiben daher von vornherein unbeachtet.</w:t>
      </w:r>
    </w:p>
    <w:p>
      <w:r>
        <w:rPr>
          <w:b/>
        </w:rPr>
        <w:t>E. 5.2.1</w:t>
      </w:r>
    </w:p>
    <w:p>
      <w:r>
        <w:t>Verwaltungsverfügungen sind nicht nach ihrem bisweilen nicht sehr treffend verfassten Wortlaut, sondern - vorbehältlich des Vertrauensschutzes - nach ihrem wirklichen rechtlichen Bedeutungsgehalt zu verstehen ( BGE 141 V 255 E. 1.2 S. 257; 132 V 74 E. 2 S. 76; 120 V 496 E. 1a S. 497; Urteil 9C_76/2020 vom 1. Mai 2020 E. 3.1 mit weiteren Hinweisen).</w:t>
      </w:r>
    </w:p>
    <w:p>
      <w:r>
        <w:rPr>
          <w:b/>
        </w:rPr>
        <w:t>E. 5.2.2</w:t>
      </w:r>
    </w:p>
    <w:p>
      <w:r>
        <w:t>Die IV-Stelle gewährte dem Beschwerdeführer zuletzt (soweit aktenkundig) am 9. Februar 2017 im formlosen Verfahren (vgl. Art. 51 ATSG ) medizinische Pflegemassnahmen (Leistungen der Kinderspitex vom 1. August 2017 bis zum 31. Dezember 2018). Der Versicherte beantragte mit Schreiben vom 14. Mai 2018 einen Entscheid über die Frage, ob Angehörige zulasten der Invalidenversicherung anstelle der Kinderspitex Pflegeleistungen im Sinne von Art. 13 IVG erbringen können, wenn sie durch einen (anderen) anerkannten Leistungserbringer angestellt sind. Dementsprechend beurteilte die IV-Stelle in der Verfügung vom 26. Juni 2018 keinen konkreten (umstrittenen) Leistungsanspruch. Entgegen der Formulierung des Dispositivs ("das Leistungsbegehren wird abgewiesen") ergibt sich aus der Begründung klar, dass die Verwaltung (sinngemäss) eine Feststellungsverfügung erliess, indem sie entschied, die pflegenden Angehörigen (Eltern, Grossmutter und Tante) des Versicherten seien keine Durchführungsstellen der Invalidenversicherung und somit nicht zur Erbringung medizinischer Massnahmen im Sinne von Art. 13 f. IVG zugelassen.</w:t>
      </w:r>
    </w:p>
    <w:p>
      <w:r>
        <w:rPr>
          <w:b/>
        </w:rPr>
        <w:t>E. 5.3</w:t>
      </w:r>
    </w:p>
    <w:p>
      <w:r>
        <w:t>Art. 26bis IVG statuiert die Wahlfreiheit unter den zugelassenen medizinischen Hilfspersonen. Ob der Versicherte diesbezüglich angesichts der grundsätzlichen Möglichkeit eines Leistungsantrags überhaupt ein genügendes Feststellungsinteresse hatte (vgl. Art. 49 Abs. 1 und 2 ATSG ; BGE 132 V 257 E. 1 S. 259), kann offenbleiben. Weder die Zulassung der C.________ GmbH zum Erbringen von Pflegeleistungen im Sinne von Art. 13 f. IVG noch die (Anschluss-) Frage, ob die bei ihr angestellten und mit bestimmten Massnahmen betrauten Personen über die dafür notwendige fachliche Qualifikation verfügen, war Gegenstand der Verfügung vom 26. Juni 2018. Die Vorinstanz hätte demnach auf die bei ihr erhobene Beschwerde, soweit sie die Zulassung der C.________ GmbH als Durchführungsstelle resp. die Anstellung der pflegenden Angehörigen bei dieser Organisation betrifft, gar nicht erst eintreten dürfen (vgl. BGE 131 V 164 E. 2.1 S. 164; 125 V 413 E. 1 S. 414 f.). In diesem Umfang ist der angefochtene Entscheid ersatzlos aufzuheben und auf die vorliegende Beschwerde nicht einzutreten. Die Eingangs dieser Erwägung aufgeworfenen Fragen sind daher durch dieses Urteil nicht präjudiziert.</w:t>
      </w:r>
    </w:p>
    <w:p>
      <w:r>
        <w:rPr>
          <w:b/>
        </w:rPr>
        <w:t>E. 6</w:t>
      </w:r>
    </w:p>
    <w:p>
      <w:r>
        <w:t>Die Gerichtskosten sind entsprechend dem Ausmass des Obsiegens und Unterliegens aufzuteilen ( Art. 66 Abs. 1 BGG ). Der teilweise obsiegende Beschwerdeführer hat Anspruch auf eine reduzierte Parteientschädigung ( Art. 68 Abs. 1 und 2 BGG ). Auf die ausdrückliche Anmahnung einer Honorarnote seines Rechtsvertreters kann verzichtet werden, nachdem ihm das Bundesgericht mit der Anzeige der Vernehmlassungsantworten eine (unbenutzt abgelaufene) Frist für allfällige Bemerkungen angesetzt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