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9C_775/2018 vom 15. November 2018</w:t>
      </w:r>
    </w:p>
    <w:p>
      <w:r>
        <w:t>Bundesgericht, 2018-11-15, DE</w:t>
      </w:r>
    </w:p>
    <w:p>
      <w:r>
        <w:rPr>
          <w:b/>
        </w:rPr>
        <w:t xml:space="preserve">Quelle: </w:t>
      </w:r>
      <w:r>
        <w:t>https://mcp.opencaselaw.ch/entscheid/bger_9C_775_2018</w:t>
      </w:r>
    </w:p>
    <w:p>
      <w:r>
        <w:t>FR: TF 9C_775/2018 du 15 novembre 2018</w:t>
      </w:r>
    </w:p>
    <w:p>
      <w:r>
        <w:t>IT: TF 9C_775/2018 del 15 novembre 2018</w:t>
      </w:r>
    </w:p>
    <w:p>
      <w:pPr>
        <w:pStyle w:val="Heading2"/>
      </w:pPr>
      <w:r>
        <w:t>Volltext</w:t>
      </w:r>
    </w:p>
    <w:p>
      <w:r>
        <w:t>Bundesgericht</w:t>
      </w:r>
    </w:p>
    <w:p>
      <w:r>
        <w:t>Tribunal fédéral</w:t>
      </w:r>
    </w:p>
    <w:p>
      <w:r>
        <w:t>Tribunale federale</w:t>
      </w:r>
    </w:p>
    <w:p>
      <w:r>
        <w:t>Tribunal federal</w:t>
      </w:r>
    </w:p>
    <w:p>
      <w:r>
        <w:t>9C_775/2018</w:t>
      </w:r>
    </w:p>
    <w:p>
      <w:r>
        <w:t>Urteil vom 15. November 2018</w:t>
      </w:r>
    </w:p>
    <w:p>
      <w:r>
        <w:t>II. sozialrechtliche Abteilung</w:t>
      </w:r>
    </w:p>
    <w:p>
      <w:r>
        <w:t>Besetzung</w:t>
      </w:r>
    </w:p>
    <w:p>
      <w:r>
        <w:t>Bundesrichterin Pfiffner, Präsidentin,</w:t>
      </w:r>
    </w:p>
    <w:p>
      <w:r>
        <w:t>Gerichtsschreiberin N. Möckli.</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 (Prozessvoraussetzung),</w:t>
      </w:r>
    </w:p>
    <w:p>
      <w:r>
        <w:t>Beschwerde gegen die Verfügung des Sozialversicherungsgerichts des Kantons Zürich</w:t>
      </w:r>
    </w:p>
    <w:p>
      <w:r>
        <w:t>vom 16. Oktober 2018 (AB.2018.00085).</w:t>
      </w:r>
    </w:p>
    <w:p>
      <w:r>
        <w:t>Nach Einsicht</w:t>
      </w:r>
    </w:p>
    <w:p>
      <w:r>
        <w:t>in die Beschwerde vom 7. November 2018 (Poststempel) gegen den Entscheid des Sozialversicherungsgerichts des Kantons Zürich vom 16. Oktober 2018,</w:t>
      </w:r>
    </w:p>
    <w:p>
      <w:r>
        <w:t>in die Mitteilung des Bundesgerichts vom 8. November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12. November 2018 (Poststempel)eingereichte weitgehend gleichlautende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ihrem Entscheid darlegte, gegen Verfügungen betreffend die Alters- und Hinterlassenenversicherung sehe das Gesetz das Einspracheverfahren vor ( Art. 1 Abs. 1 AHVG i.V.m. Art. 52 Abs. 1 ATSG ),</w:t>
      </w:r>
    </w:p>
    <w:p>
      <w:r>
        <w:t>dass das kantonale Gericht daher auf die vom Beschwerdeführer erhobene Beschwerde gegen die Verfügung der Beschwerdegegnerin vom 24. September 2018 nicht eintrat, sondern die Angelegenheit mit der Anordnung, die Beschwerde sei als Einsprache entgegenzunehmen, an die Ausgleichskasse überwies,</w:t>
      </w:r>
    </w:p>
    <w:p>
      <w:r>
        <w:t>dass der Beschwerdeführer darlegt, weshalb die Verfügung der Beschwerdegegnerin vom 24. September 2018 unrichtig sein soll, aber nicht aufzeigt, inwiefern die vorinstanzlich verfügte Rückweisung der Sache an die Beschwerdegegnerin gegen Bundesrecht verstösst,</w:t>
      </w:r>
    </w:p>
    <w:p>
      <w:r>
        <w:t>dass die beiden Eingaben des Beschwerdeführers somit den inhaltlichen Mindestanforderungen nicht genügen,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November 2018</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