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775/2012 vom 27. Dezember 2012</w:t>
      </w:r>
    </w:p>
    <w:p>
      <w:r>
        <w:t>Bundesgericht, 2012-12-27, DE</w:t>
      </w:r>
    </w:p>
    <w:p>
      <w:r>
        <w:rPr>
          <w:b/>
        </w:rPr>
        <w:t xml:space="preserve">Quelle: </w:t>
      </w:r>
      <w:r>
        <w:t>https://mcp.opencaselaw.ch/entscheid/bger_9C_775_2012</w:t>
      </w:r>
    </w:p>
    <w:p>
      <w:r>
        <w:t>FR: TF 9C 775/2012 du 27 décembre 2012</w:t>
      </w:r>
    </w:p>
    <w:p>
      <w:r>
        <w:t>IT: TF 9C 775/2012 del 27 dicembre 2012</w:t>
      </w:r>
    </w:p>
    <w:p>
      <w:pPr>
        <w:pStyle w:val="Heading2"/>
      </w:pPr>
      <w:r>
        <w:t>Regeste</w:t>
      </w:r>
    </w:p>
    <w:p>
      <w:r>
        <w:t>Alters- und Hinterlassenenversicherung [9C_752/2012] Alters- und Hinterlassenenversicherung [9C_775/2012] Alters- und Hinterlassenenversicherung [9C_777/2012] | Alters- und Hinterlassenenversicherung</w:t>
      </w:r>
    </w:p>
    <w:p>
      <w:pPr>
        <w:pStyle w:val="Heading2"/>
      </w:pPr>
      <w:r>
        <w:t>Erwägungen</w:t>
      </w:r>
    </w:p>
    <w:p>
      <w:r>
        <w:rPr>
          <w:b/>
        </w:rPr>
        <w:t>E. 1</w:t>
      </w:r>
    </w:p>
    <w:p>
      <w:r>
        <w:t>Die Zuständigkeit der II. sozialrechtlichen Abteilung des Bundesgerichts zum Entscheid über die streitige Schadenersatzpflicht erstreckt sich auch auf die Forderung für entgangene Sozialversicherungsbeiträge nach kantonalem Recht (Urteil 9C_704/2007 vom 17. März 2008 E. 1, nicht publ. in: BGE 134 I 179 , aber in: SVR 2008 FL Nr. 1 S. 1; 9C_720/2008 vom 7. Dezember 2009 E. 1).</w:t>
      </w:r>
    </w:p>
    <w:p>
      <w:r>
        <w:rPr>
          <w:b/>
        </w:rPr>
        <w:t>E. 2</w:t>
      </w:r>
    </w:p>
    <w:p>
      <w:r>
        <w:t>Da den drei Beschwerden derselbe Sachverhalt zu Grunde liegt, sich die gleichen Rechtsfragen stellen und die Rechtsmittel sich gegen einen Entscheid richten, welcher die Beschwerdeführenden in gleicher Weise zu Schadenersatz verpflichtet, wenn auch in unterschiedlichem Umfang, rechtfertigt es sich, die drei Verfahren betreffend die X.________ AG zu vereinigen und in einem einzigen Urteil zu erledigen.</w:t>
      </w:r>
    </w:p>
    <w:p>
      <w:r>
        <w:rPr>
          <w:b/>
        </w:rPr>
        <w:t>E. 3</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4</w:t>
      </w:r>
    </w:p>
    <w:p>
      <w:r>
        <w:t>Streitig ist die Schadenersatzpflicht der Beschwerdeführer. Dabei ist in prozessualer Hinsicht zunächst die Frage der Beiladung allfälliger Mitinteressierter zu prüfen.</w:t>
      </w:r>
    </w:p>
    <w:p>
      <w:r>
        <w:rPr>
          <w:b/>
        </w:rPr>
        <w:t>E. 4.1</w:t>
      </w:r>
    </w:p>
    <w:p>
      <w:r>
        <w:t>Mit der Beiladung werden Dritte, deren Interessen durch eine Entscheidung berührt sind, in ein Verfahren einbezogen und daran beteiligt. Der Einbezug Beteiligter in den Schriftenwechsel hat den Sinn, die Rechtskraft des Urteils auf den Beigeladenen auszudehnen, so dass dieser in einem später gegen ihn gerichteten Prozess dieses Urteil gegen sich gelten lassen muss. Das Interesse an einer Beiladung ist rechtlicher Natur. Es muss eine Rückwirkung auf eine Rechtsbeziehung zwischen der Hauptpartei und dem Mitinteressierten in Aussicht stehen (Gygi, Bundesverwaltungsrechtspflege, 2. Auflage, S. 183 f.; Kölz/Häner, Verwaltungsverfahren und Verwaltungsrechtspflege des Bundes, 2. Auflage, S. 191 N 528; BGE 125 V 80 E. 8b S. 9 f.; vgl. auch BGE 118 Ib 56 E. 1c S. 360; Urteil H 68/01 vom 23. April 2002). Die Beiladung ermöglicht es, dem Recht auf vorgängige Anhörung Rechnung zu tragen, bevor ein nachteiliger Entscheid ergeht; damit ist die Beiladung auch Ausfluss des rechtlichen Gehörs (Kölz/Häner, a.a.O., S. 191 f. N 528 f.). Nach der Rechtsprechung (Urteil H 68/01 vom 23. April 2002 E. 2b, Urteil H 365/01 vom 15. April 2002 E. 3b, Urteil H 134/00 vom 3. November 2000 E. 3d, Urteil H 256/97 vom 30. September 1998 E. 4b) ist das Sozialversicherungsgericht gehalten, andere von der Ausgleichskasse belangte Solidarschuldner beizuladen, und zwar sowohl wenn gegen diese das Verfahren noch hängig ist, als auch wenn deren Haftung bereits rechtskräftig feststeht. Praxisgemäss nicht beizuladen sind demgegenüber Dritte, die auch als Mithaftende in Frage kommen könnten, von der Ausgleichskasse aber nicht belangt worden sind (Urteil H 327/98 vom 30. Juni 2000 E. 3b; ebenso in anderem Zusammenhang auch RKUV 2003 Nr. U 485 S. 257 E. 3 U 307/01). In SZS 2007 S. 152, H 72/06, hat das Bundesgericht entschieden, dass an dieser Praxis festzuhalten ist (Beschluss des Gesamtgerichts des Eidgenössischen Versicherungsgerichts vom 22. August 2006) und hat sie in der Folge auch weiterhin zur Anwendung gebracht (Urteil 9C_158/2008 vom 30. September 2008).</w:t>
      </w:r>
    </w:p>
    <w:p>
      <w:r>
        <w:rPr>
          <w:b/>
        </w:rPr>
        <w:t>E. 4.2</w:t>
      </w:r>
    </w:p>
    <w:p>
      <w:r>
        <w:t>Die Ausgleichskasse ist nicht nur gegen die drei Beschwerdeführer sowie T.________ und U.________ (welche zwar den Einspracheentscheid, nicht aber den sie zu einem reduzierten Schadenersatz verpflichtenden vorinstanzlichen Entscheid angefochten haben) vorgegangen, sondern hat auch gegenüber dem ehemaligen Vizepräsident und Delegierten des Verwaltungsrats der Gesellschaft, A.________, eine Schadenersatzverfügung erlassen. Dieser hat die Schadenersatzforderung anerkannt und mit der Ausgleichskasse eine Ratenzahlungsvereinbarung geschlossen. Nach der dargelegten Rechtsprechung (E. 4.1 hievor) hätte das kantonale Gericht A.________ zum Verfahren beiladen müssen. Zwar rechtfertigt eine solche Unterlassung nicht in jedem Fall eine Rückweisung an die Vorinstanz. Rechtsprechungsgemäss kann von einer Rückweisung der Streitsache an die Vorinstanz zur Gewährung des rechtlichen Gehörs nach dem Grundsatz der Verfahrensökonomie abgesehen werden, wenn dieses Vorgehen zu einem formalistischen Leerlauf und damit zu unnötigen Verzögerungen führen würde, die mit dem (gleichlaufenden und der Anhörung gleichgestellten) Interesse an einer möglichst beförderlichen Beurteilung nicht zu vereinbaren sind ( BGE 116 V 182 E. 3d S. 186). So verhält es sich hier jedoch nicht: Die erforderliche Stellungnahme kann noch eingeholt werden und anders als im erwähnten Urteil H 72/06 vermögen die allfälligen darin vorgebrachten Aspekte durchaus die Rechtsstellung der einzelnen in Pflicht genommenen ehemaligen Organe der Gesellschaft noch zu beeinflussen (vgl. BGE 134 V 306 E. 3.2.1 S. 310) und können damit den Beschwerdeführern zweckdienlich sein. Denn es liegen gerade die Fragen im Streit, ob noch weitere Ratenzahlungen durch A.________ geleistet wurden, welche die Vorinstanz nicht berücksichtigt hat (MEYER/DORMANN, in: Basler Kommentar, 2. A., 2011, N. 11 in fine zu Art. 105 BGG ) und inwieweit diese gegebenenfalls den Beschwerdeführern anzurechnen sind. Die Sache ist deshalb an die Vorinstanz zurückzuweisen, damit diese die Beiladung anordne.</w:t>
      </w:r>
    </w:p>
    <w:p>
      <w:r>
        <w:rPr>
          <w:b/>
        </w:rPr>
        <w:t>E. 5</w:t>
      </w:r>
    </w:p>
    <w:p>
      <w:r>
        <w:t>Auf einen Schriftenwechsel wird angesichts des Verfahrensausgangs, der auf formellen Gründen beruht, verzichtet. Die Einholung einer Vernehmlassung zur Beschwerde, die ausschliesslich materiellen Inhalts ist, käme einem Leerlauf gleich und würde nur weitere Kosten verursachen. Damit ist aus Gründen der Prozessökonomie ein Schriftenwechsel nicht erforderlich (Art. 102 Abs. 1 a.A. BGG, Urteil 9C_477/2012 vom 21. September 2012).</w:t>
      </w:r>
    </w:p>
    <w:p>
      <w:r>
        <w:rPr>
          <w:b/>
        </w:rPr>
        <w:t>E. 6</w:t>
      </w:r>
    </w:p>
    <w:p>
      <w:r>
        <w:t>Mit dem sofortigen Entscheid in der Sache ist die Frage der aufschiebenden Wirkung der Beschwerde gegenstandslos.</w:t>
      </w:r>
    </w:p>
    <w:p>
      <w:r>
        <w:rPr>
          <w:b/>
        </w:rPr>
        <w:t>E. 7</w:t>
      </w:r>
    </w:p>
    <w:p>
      <w:r>
        <w:t>Dem Ausgang des Verfahrens entsprechend hat die Ausgleichskasse die Gerichtskosten zu tragen ( Art. 66 Abs. 1 BGG ) und den Beschwerdeführern eine Parteientschädigung zu entrichten. H.________ und S.________ haben diesbzüglich nur einen reduzierten Anspruch, da sie durch denselben Rechtsanwalt vertreten und die Beschwerdeschriften identisch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