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9C_775/2008 vom 15. September 2009</w:t>
      </w:r>
    </w:p>
    <w:p>
      <w:r>
        <w:t>Bundesgericht, 2009-09-15, FR</w:t>
      </w:r>
    </w:p>
    <w:p>
      <w:r>
        <w:rPr>
          <w:b/>
        </w:rPr>
        <w:t xml:space="preserve">Quelle: </w:t>
      </w:r>
      <w:r>
        <w:t>https://mcp.opencaselaw.ch/entscheid/bger_9C_775_2008</w:t>
      </w:r>
    </w:p>
    <w:p>
      <w:r>
        <w:t>FR: TF 9C_775/2008 du 15 septembre 2009</w:t>
      </w:r>
    </w:p>
    <w:p>
      <w:r>
        <w:t>IT: TF 9C_775/2008 del 15 settembre 2009</w:t>
      </w:r>
    </w:p>
    <w:p>
      <w:pPr>
        <w:pStyle w:val="Heading2"/>
      </w:pPr>
      <w:r>
        <w:t>Erwägungen</w:t>
      </w:r>
    </w:p>
    <w:p>
      <w:r>
        <w:rPr>
          <w:b/>
        </w:rPr>
        <w:t>E. 1.1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 La violation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w:t>
      </w:r>
    </w:p>
    <w:p>
      <w:r>
        <w:rPr>
          <w:b/>
        </w:rPr>
        <w:t>E. 1.2</w:t>
      </w:r>
    </w:p>
    <w:p>
      <w:r>
        <w:t>Les constatations de la juridiction cantonale sur l'atteinte à la santé (diagnostic, pronostic, etc.) et l'évaluation de la capacité de travail sont en principe des questions de fait ( ATF 132 V 393 consid. 3.2 p. 397). Il en est de même de l'appréciation concrète des preuves. En revanche, l'application du principe inquisitoire et des règles sur l'appréciation des preuves au sens de l' art. 61 let . c LPGA, ainsi que le respect du devoir en découlant de procéder à une appréciation complète, rigoureuse et objective des rapports médicaux en relation avec leur contenu relèvent du droit ( ATF 132 V 393 consid. 3.2 et 4 p. 397 ss).</w:t>
      </w:r>
    </w:p>
    <w:p>
      <w:r>
        <w:rPr>
          <w:b/>
        </w:rPr>
        <w:t>E. 2</w:t>
      </w:r>
    </w:p>
    <w:p>
      <w:r>
        <w:t>Le litige porte sur le droit du recourant à une rente d'invalidité. La demande du recourant, datée du 7 décembre 1999, a été rejetée par décision sur opposition du 1er septembre 2004, de sorte que le litige doit être examiné au regard de l'état de fait existant au moment du prononcé de cette décision ( ATF 130 V 445 consid. 1.2.1 p. 447, 127 V 466 consid. 1 p. 467, ATF 121 V 362 consid. 1b p. 366; cf. aussi ATF 131 V 242 consid. 2.1 p. 243).</w:t>
      </w:r>
    </w:p>
    <w:p>
      <w:r>
        <w:rPr>
          <w:b/>
        </w:rPr>
        <w:t>E. 3.1</w:t>
      </w:r>
    </w:p>
    <w:p>
      <w:r>
        <w:t>Le recourant soutient tout d'abord que les premiers juges ont procédé à une appréciation arbitraire des preuves en se fondant sur la seule expertise du docteur B.________, dont il qualifie les constatations de contradictoires et fort critiquables sur le plan méthodologique.</w:t>
      </w:r>
    </w:p>
    <w:p>
      <w:r>
        <w:rPr>
          <w:b/>
        </w:rPr>
        <w:t>E. 3.2</w:t>
      </w:r>
    </w:p>
    <w:p>
      <w:r>
        <w:t>Lorsque l'autorité cantonale juge l'expertise judiciaire concluante et en suit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inférieure pouvait, sans arbitraire, se rallier au résultat de l'expertise (arrêt 4p.263/2003 du 1er avril 2004; cf. ATF 125 V 324 consid. 3b/aa p. 329 et les références).</w:t>
      </w:r>
    </w:p>
    <w:p>
      <w:r>
        <w:rPr>
          <w:b/>
        </w:rPr>
        <w:t>E. 3.3</w:t>
      </w:r>
    </w:p>
    <w:p>
      <w:r>
        <w:t>En l'espèce, l'expertise du docteur B.________ remplit les exigences auxquelles la jurisprudence soumet la valeur probante d'un tel document. Les conclusions procèdent en effet d'une analyse complète de l'ensemble des circonstances déterminantes ressortant de l'anamnèse, du dossier médical et de l'examen. Les réponses apportées par l'expert aux questions posées par la juridiction cantonale sont par ailleurs complètes et convaincantes. En ce qui concerne la contradiction dont se plaint le recourant quant aux résultats de l'évaluation de la dépression, le docteur B.________ a précisé ceci: l'échelle d'évaluation psychopathologique de Montgomery-Asberg (MADRS), dont le résultat chez le recourant était compatible avec une dépression sévère, reflétait davantage le vécu subjectif du sujet examiné, tandis que l'évaluation selon l'échelle de ralentissement de Wildlöcher, dont le résultat chez le recourant correspondait à une dépression légère, traduisait plutôt l'impression objective de l'examinateur. L'expert a précisé que la concordance entre les éléments subjectifs et objectifs jouaient un rôle important dans l'appréciation de la sévérité d'une dépression. Dans le cas du recourant, les scores des évaluations subjective et objective étaient totalement divergents. L'expert ajoutait qu'il n'avait pas retenu le diagnostic de dépression sévère en raison de la relative absence des signes objectifs habituellement liés à un épisode dépressif sévère. De plus, il apportait d'autres arguments contre la sévérité de la dépression, telles que les fluctuations de l'humeur et l'absence d'altération de l'état général (cf. en particulier p. 14 de l'expertise du docteur B.________). Quoi qu'en dise le recourant, le docteur B.________ a donc bel et bien expliqué les raisons pour lesquelles il posait le diagnostic d'épisode dépressif moyen avec syndrome somatique et non pas celui d'épisode dépressif sévère retenu par le professeur A.________ et le docteur N.________. Du reste, l'avis du docteur B.________ rejoint celui du docteur T.________, lequel a suivi le recourant entre fin 2004 et début 2006. Enfin, le recourant perd de vue que dans le cadre d'un examen psychiatrique, les procédés d'évaluation schématiques, comme p. ex. l'échelle d'évaluation psychopathologique de Montgomery-Asberg (MADRS), laquelle se fonde sur des renseignements et des estimations donnés par la personne assurée, n'ont qu'une fonction complémentaire. Est en effet seul déterminant l'examen clinique, avec anamnèse, description des symptômes et observation du comportement de l'assuré (cf. arrêt du Tribunal fédéral des assurances I 391/06 du 9 août 2006, consid. 3.2.2). Au vu de ce qui précède, les critiques du recourant à l'égard de l'expertise du docteur B.________ ne laissent par conséquent nullement apparaître que les juges cantonaux auraient versé dans l'arbitraire.</w:t>
      </w:r>
    </w:p>
    <w:p>
      <w:r>
        <w:rPr>
          <w:b/>
        </w:rPr>
        <w:t>E. 4.1</w:t>
      </w:r>
    </w:p>
    <w:p>
      <w:r>
        <w:t>Le recourant fait encore grief aux premiers juges d'avoir fait débuter l'ouverture de son droit aux prestations le 1er septembre 2005 seulement, alors que l'atteinte invalidante à sa santé remonterait au moment de son accident, soit au mois d'août 1998. En outre, il reproche à la juridiction cantonale d'avoir confirmé la décision sur opposition du 1er septembre 2004 lui refusant tout droit à des prestations tout en admettant, de façon contradictoire, son droit à des prestations d'invalidité dès le 1er septembre 2005.</w:t>
      </w:r>
    </w:p>
    <w:p>
      <w:r>
        <w:rPr>
          <w:b/>
        </w:rPr>
        <w:t>E. 4.2</w:t>
      </w:r>
    </w:p>
    <w:p>
      <w:r>
        <w:t>Se fondant sur les constatations du docteur B.________, les premiers juges ont fixé - de manière à lier le Tribunal fédéral - au 1er septembre 2004 l'incapacité de travail durable de 40% subie par le recourant dans toute activité.</w:t>
      </w:r>
    </w:p>
    <w:p>
      <w:r>
        <w:t>En tant que le recourant se borne à soutenir que son incapacité de travail remonte au mois d'août 1998, substituant l'appréciation du docteur A.________ à celle de l'expert B.________ sans établir l'existence d'une erreur manifeste dans l'évaluation de l'expert judiciaire, il ne démontre pas en quoi la constatation des faits opérée par la juridiction cantonale serait manifestement inexacte ou incomplète sur ce point.</w:t>
      </w:r>
    </w:p>
    <w:p>
      <w:r>
        <w:rPr>
          <w:b/>
        </w:rPr>
        <w:t>E. 4.3</w:t>
      </w:r>
    </w:p>
    <w:p>
      <w:r>
        <w:t>Contrairement à ce que prétend le recourant, la juridiction cantonale ne lui a pas reconnu un droit à des prestations de l'assurance-invalidité à partir du 1er septembre 2005. Elle n'a fait que constater son incapacité de travail durable de 40% dans toute activité depuis le 1er septembre 2004. Or, l'incapacité de travail, qui est une notion médicale, ne se confond pas nécessairement avec l'incapacité de gain. En renvoyant la cause à l'intimé pour nouvelle décision au sens des considérants (cf. ch. 4 du dispositif du jugement attaqué), les premiers juges n'ont fait que transmettre le dossier à l'office AI afin que ce dernier procède au calcul de l'incapacité de gain du recourant et se prononce sur un éventuel droit à une rente d'invalidité pour la période postérieure à la décision attaquée dont ils étaient saisis. Au vu de ce qui précède, le dispositif du jugement attaqué n'apparaît dès lors pas contradictoire.</w:t>
      </w:r>
    </w:p>
    <w:p>
      <w:r>
        <w:t>Mal fondé, le recours doit être rejeté.</w:t>
      </w:r>
    </w:p>
    <w:p>
      <w:r>
        <w:rPr>
          <w:b/>
        </w:rPr>
        <w:t>E. 5</w:t>
      </w:r>
    </w:p>
    <w:p>
      <w:r>
        <w:t>Vu l'issue du litige, les frais de justice sont mis à la charge du recourant ( art. 66 al. 1 LTF ) qui ne peut prétendre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