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9C_774/2017 vom 5. Juli 2018</w:t>
      </w:r>
    </w:p>
    <w:p>
      <w:r>
        <w:t>Bundesgericht, 2018-07-05, DE</w:t>
      </w:r>
    </w:p>
    <w:p>
      <w:r>
        <w:rPr>
          <w:b/>
        </w:rPr>
        <w:t xml:space="preserve">Quelle: </w:t>
      </w:r>
      <w:r>
        <w:t>https://mcp.opencaselaw.ch/entscheid/bger_9C_774_2017</w:t>
      </w:r>
    </w:p>
    <w:p>
      <w:r>
        <w:t>FR: TF 9C_774/2017 du 5 juillet 2018</w:t>
      </w:r>
    </w:p>
    <w:p>
      <w:r>
        <w:t>IT: TF 9C_774/2017 del 5 luglio 2018</w:t>
      </w:r>
    </w:p>
    <w:p>
      <w:pPr>
        <w:pStyle w:val="Heading2"/>
      </w:pPr>
      <w:r>
        <w:t>Erwägungen</w:t>
      </w:r>
    </w:p>
    <w:p>
      <w:r>
        <w:rPr>
          <w:b/>
        </w:rPr>
        <w:t>E. 1.1</w:t>
      </w:r>
    </w:p>
    <w:p>
      <w:r>
        <w:t>Gemäss Art. 77 Abs. 1 des Vorsorgereglements für die Angestellten und die Rentenbeziehenden des Vorsorgewerks Bund vom 15. Juni 2007 (VRAB [Stand am 1. Januar 2015]; SR 172.220.141.1) werden die Hinterlassenen- und Invalidenleistungen von PUBLICA gekürzt, soweit sie zusammen mit anderen anrechenbaren Einkünften gleicher Art und Zweckbestimmung 100 Prozent des mutmasslich entgangenen Verdienstes übersteigen. Als anrechenbare Einkünfte gelten: a. Leistungen der AHV und IV; b. Leistungen der MV; c. Leistungen der UV; d. Leistungen von in- und ausländischen Sozialversicherungen; e. Leistungen aus beruflicher Vorsorge; f. Leistungen von privaten Versicherungen, an deren Kosten der Arbeitgeber mindestens zur Hälfte beigetragen hat; g. weiterhin erzielte oder zumutbarerweise noch erzielbare Erwerbs- oder Ersatzeinkommen von Bezügerinnen und Bezügern von Invalidenleistungen, mit Ausnahme des Zusatzeinkommens, das während der Teilnahme an Massnahmen zur Wiedereingliederung nach Art. 8a IVG erzielt wird (Abs. 3). Der infolge Überentschädigung nicht ausbezahlte Teil der versicherten Leistungen verfällt dem Vorsorgewerk Bund (Abs. 7).</w:t>
      </w:r>
    </w:p>
    <w:p>
      <w:r>
        <w:rPr>
          <w:b/>
        </w:rPr>
        <w:t>E. 1.2</w:t>
      </w:r>
    </w:p>
    <w:p>
      <w:r>
        <w:t>Wer eine Leistung von PUBLICA entgegennimmt, auf die er oder sie keinen Anspruch hat, muss sie samt Zinsen (Anhang 1 Ziff. 4) zurückerstatten ( Art. 72 Abs. 1 VRAB ). Die Verjährung von Rückforderungsansprüchen richtet sich nach Art. 35a BVG ( Art. 73 Abs. 2 VRAB ).</w:t>
      </w:r>
    </w:p>
    <w:p>
      <w:r>
        <w:rPr>
          <w:b/>
        </w:rPr>
        <w:t>E. 2.1</w:t>
      </w:r>
    </w:p>
    <w:p>
      <w:r>
        <w:t>Die Vorinstanz verweist in ihrer Begründung auf die Verfügung der IV vom 22. Juli 2016 sowie auf den diesbezüglich ergangenen - in Rechtskraft erwachsenen - kantonalen Gerichtsentscheid vom 29. Mai 2017 (608 2016 189), welche beide der Pensionskasse rechtsgültig eröffnet worden seien. Die in diesem invalidenversicherungsrechtlichen Verfahren geprüften und beurteilten sachbezüglichen Voraussetzungen des Rentenanspruchs und der Rentenhöhe - insbesondere die Festsetzung des Valideneinkommens auf Fr. 120'120.- - seien deshalb für das Klageverfahren verbindlich, zumal Valideneinkommen und mutmasslich entgangener Verdienst grundsätzlich kongruent seien, was von der PUBLICA in der Klage explizit anerkannt werde.</w:t>
      </w:r>
    </w:p>
    <w:p>
      <w:r>
        <w:rPr>
          <w:b/>
        </w:rPr>
        <w:t>E. 2.2</w:t>
      </w:r>
    </w:p>
    <w:p>
      <w:r>
        <w:t>Nach den Ausführungen im Sachverhalt des vorliegend angefochtenen Entscheids hat die IV-Verfügung vom 22. Juli 2016 die Rückerstattung der für das Jahr 2012 ausgerichteten Rentenzahlungen zum Thema, welche das Kantonsgericht dahingehend abänderte, als dass der Versicherte nur die halbe Invalidenrente des Jahres 2012 zurückzuerstatten habe. In den Akten des Kantonsgerichts effektiv enthalten ist jedoch einzig die Rückerstattungsverfügung der IV vom 16. August 2017 über Fr. 25'056.- für das Jahr 2012. Es fällt denn auch auf, dass das kantonale Gericht in E. 4.2 seines Entscheids vom 3. Oktober 2017 die entsprechenden Fundstellen der herbeigezogenen Aktenstücke nicht angibt und sich auch kein Inhaltsverzeichnis zu den - vorinstanzlich eingereichten - umfangreichen Akten der PUBLICA findet, das zuverlässige Rückschlüsse auf die vorhandenen Unterlagen erlauben würde. Von einer geordneten und übersichtlichen Aktenführung, die für alle Verfahrensarten gilt ( BGE 130 II 473 E. 4.1 S. 477), kann nicht gesprochen werden. Es ist Aufgabe des kantonalen Gerichts, eine solche sicherzustellen, einerseits zwecks Gewährleistung einer ordnungsgemässen Akteneinsicht, anderseits als Grundlage einer sachgemässen Entscheidfindung, sowohl in erster Instanz als auch im Falle eines Weiterzugs. Das Gebot einer geordneten und übersichtlichen Aktenführung verpflichtet die Gerichte insbesondere zu deren Vollständigkeit. Sie haben alles in den Akten festzuhalten, was zur Sache gehört und entscheidwesentlich sein kann (vgl. statt vieler Urteil 8C_616/2013 vom 28. Januar 2014 E. 2.1; GEROLD STEINMANN, in: Die schweizerische Bundesverfassung, St. Galler Kommentar, 3. Aufl. 2014, N. 55 zu Art. 29 BV ). Dem wurde hier augenscheinlich nicht nachgelebt.</w:t>
      </w:r>
    </w:p>
    <w:p>
      <w:r>
        <w:rPr>
          <w:b/>
        </w:rPr>
        <w:t>E. 2.3</w:t>
      </w:r>
    </w:p>
    <w:p>
      <w:r>
        <w:t>Wohl lässt sich der Entscheid des Kantonsgerichts vom 29. Mai 2017 (608 2016 189) unter dem Titel der Notorietät aus dem Internet herunterladen. Dabei handelt es sich aber um eine anonymisierte Fassung, sodass nicht ersichtlich ist, wem der Entscheid letztlich zugestellt worden ist. Vor allem sticht ins Auge, dass weder im Rubrum noch im Sachverhalt eine Beiladung vermerkt ist, woraus sich eine Ausdehnung der Rechtskraft auf die PUBLICA ableiten liesse (vgl. dazu BGE 130 V 501 ). Ebenso wenig hilft eine Edition des zitierten Entscheids von Amtes wegen weiter, zumal das Bundesgericht auch betreffend den behaupteten Miteinbezug der PUBLICA in das verwaltungsrechtliche IV-Verfahren im Dunkeln tappt. Abgesehen davon lässt sich auch der genaue Streitgegenstand resp. das genaue Dispositiv der IV-Verfügung vom 22. Juli 2016 nicht ausmachen, das von der Vorinstanz nicht integral aufgehoben, sondern "nur" abgeändert wurde. Mit anderen Worten ist der hier angefochtene Entscheid vom 3. Oktober 2017 mangels vollständiger Aktenführung keiner korrekten Überprüfung zugänglich. Er verletzt offensichtlich Bundesrecht und ist aufzuheben. Die Sache geht an die Vorinstanz zurück, damit sie in Nachachtung des Dargelegten über die Klage erneut befinde.</w:t>
      </w:r>
    </w:p>
    <w:p>
      <w:r>
        <w:t>Bei dieser Ausgangslage erübrigen sich materielle Ausführungen. Indes sei an dieser Stelle angefügt, dass die Anerkennung eines Grundsatzes (vgl. E. 2.1 in fine hiervor) nicht automatisch den Weg für eine Würdigung der spezifischen Gegebenheiten und tatsächlichen Verhältnisse des konkreten Falles verschliesst (vgl. zur Massgeblichkeit des IV-Invalideneinkommens BGE 137 V 20 E. 2.2 S. 23 bzw. zu derjenigen des IV-Valideneinkommens BGE 137 V 20 E. 5.2.3.1 S. 27 f. sowie vorinstanzliche Klage S. 11 unten f.).</w:t>
      </w:r>
    </w:p>
    <w:p>
      <w:r>
        <w:rPr>
          <w:b/>
        </w:rPr>
        <w:t>E. 3</w:t>
      </w:r>
    </w:p>
    <w:p>
      <w:r>
        <w:t>Auf die Erhebung von Gerichtskosten wird umständehalber verzichtet ( Art. 66 Abs. 1 Satz 2 BGG ). Eine Parteientschädigung wird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