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9C_773/2019 vom 2. Dezember 2019</w:t>
      </w:r>
    </w:p>
    <w:p>
      <w:r>
        <w:t>Bundesgericht, 2019-12-02, DE</w:t>
      </w:r>
    </w:p>
    <w:p>
      <w:r>
        <w:rPr>
          <w:b/>
        </w:rPr>
        <w:t xml:space="preserve">Quelle: </w:t>
      </w:r>
      <w:r>
        <w:t>https://mcp.opencaselaw.ch/entscheid/bger_9C_773_2019</w:t>
      </w:r>
    </w:p>
    <w:p>
      <w:r>
        <w:t>FR: TF 9C_773/2019 du 2 décembre 2019</w:t>
      </w:r>
    </w:p>
    <w:p>
      <w:r>
        <w:t>IT: TF 9C_773/2019 del 2 dicembre 2019</w:t>
      </w:r>
    </w:p>
    <w:p>
      <w:pPr>
        <w:pStyle w:val="Heading2"/>
      </w:pPr>
      <w:r>
        <w:t>Volltext</w:t>
      </w:r>
    </w:p>
    <w:p>
      <w:r>
        <w:t>Bundesgericht</w:t>
      </w:r>
    </w:p>
    <w:p>
      <w:r>
        <w:t>Tribunal fédéral</w:t>
      </w:r>
    </w:p>
    <w:p>
      <w:r>
        <w:t>Tribunale federale</w:t>
      </w:r>
    </w:p>
    <w:p>
      <w:r>
        <w:t>Tribunal federal</w:t>
      </w:r>
    </w:p>
    <w:p>
      <w:r>
        <w:t>9C_773/2019</w:t>
      </w:r>
    </w:p>
    <w:p>
      <w:r>
        <w:t>Urteil vom 2. Dezember 2019</w:t>
      </w:r>
    </w:p>
    <w:p>
      <w:r>
        <w:t>II. sozialrechtliche Abteilung</w:t>
      </w:r>
    </w:p>
    <w:p>
      <w:r>
        <w:t>Besetzung</w:t>
      </w:r>
    </w:p>
    <w:p>
      <w:r>
        <w:t>Bundesrichterin Pfiffner, Präsidentin,</w:t>
      </w:r>
    </w:p>
    <w:p>
      <w:r>
        <w:t>Gerichtsschreiberin N. Möckli.</w:t>
      </w:r>
    </w:p>
    <w:p>
      <w:r>
        <w:t>Verfahrensbeteiligte</w:t>
      </w:r>
    </w:p>
    <w:p>
      <w:r>
        <w:t>A.________,</w:t>
      </w:r>
    </w:p>
    <w:p>
      <w:r>
        <w:t>Beschwerdeführerin,</w:t>
      </w:r>
    </w:p>
    <w:p>
      <w:r>
        <w:t>gegen</w:t>
      </w:r>
    </w:p>
    <w:p>
      <w:r>
        <w:t>Sozialversicherungsanstalt des Kantons Aargau, Kyburgerstrasse 15, 5001 Aarau,</w:t>
      </w:r>
    </w:p>
    <w:p>
      <w:r>
        <w:t>Beschwerdegegnerin.</w:t>
      </w:r>
    </w:p>
    <w:p>
      <w:r>
        <w:t>Gegenstand</w:t>
      </w:r>
    </w:p>
    <w:p>
      <w:r>
        <w:t>Ergänzungsleistung zur AHV/IV (Prozessvoraussetzungen),</w:t>
      </w:r>
    </w:p>
    <w:p>
      <w:r>
        <w:t>Beschwerde gegen den Entscheid des Versicherungsgerichts des Kantons Aargau</w:t>
      </w:r>
    </w:p>
    <w:p>
      <w:r>
        <w:t>vom 26. September 2019 (VBE.2019.62).</w:t>
      </w:r>
    </w:p>
    <w:p>
      <w:r>
        <w:t>Nach Einsicht</w:t>
      </w:r>
    </w:p>
    <w:p>
      <w:r>
        <w:t>in die Beschwerde vom 16. November 2019 (Poststempel) gegen den Entscheid des Versicherungsgerichts des Kantons Aargau vom 26. September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erwog, eine Rückerstattungspflicht zu Unrecht bezogener Leistungen bestehe unabhängig von einem allfälligen Verschulden,</w:t>
      </w:r>
    </w:p>
    <w:p>
      <w:r>
        <w:t>dass das kantonale Gericht weiter feststellte, in der Verfügung vom 4. November 2015 sei die Erwerbstätigkeit der Beschwerdeführerin nicht berücksichtigt worden und die Neuberechnung des Anspruchs führe zu einem Rückforderungsbetrag von Fr. 27'418.- (Einspracheentscheid vom 30. November 2018),</w:t>
      </w:r>
    </w:p>
    <w:p>
      <w:r>
        <w:t>dass die Vorinstanz die Beschwerdeführerin zudem darauf hinwies, ein Erlassgesuch sei erst nach der Rechtskraft der Rückerstattungsverfügung zu beurteilen,</w:t>
      </w:r>
    </w:p>
    <w:p>
      <w:r>
        <w:t>dass die Beschwerdeführerin im Wesentlichen vorbringt, sie wüsste nicht, wie sie diesen Betrag von Fr. 27'418.- zurückbezahlen sollte,</w:t>
      </w:r>
    </w:p>
    <w:p>
      <w:r>
        <w:t>dass die Beschwerdeführerin damit wie auch mit ihren anderen Ausführungen nicht aufzeigt, inwiefern die vorinstanzlichen Sachverhaltsfeststellungen im Sinne von Art. 97 Abs. 1 BGG unzutreffend und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 Dezember 2019</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