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9C_773/2007 vom 23. Juni 2008</w:t>
      </w:r>
    </w:p>
    <w:p>
      <w:r>
        <w:t>Bundesgericht, 2008-06-23, FR</w:t>
      </w:r>
    </w:p>
    <w:p>
      <w:r>
        <w:rPr>
          <w:b/>
        </w:rPr>
        <w:t xml:space="preserve">Quelle: </w:t>
      </w:r>
      <w:r>
        <w:t>https://mcp.opencaselaw.ch/entscheid/bger_9C_773_2007</w:t>
      </w:r>
    </w:p>
    <w:p>
      <w:r>
        <w:t>FR: TF 9C_773/2007 du 23 juin 2008</w:t>
      </w:r>
    </w:p>
    <w:p>
      <w:r>
        <w:t>IT: TF 9C_773/2007 del 23 giugno 2008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2.2</w:t>
      </w:r>
    </w:p>
    <w:p>
      <w:r>
        <w:t>Le Tribunal fédéral examine librement, parce qu'il s'agit d'une question de droit, le grief tiré d'une violation du principe de la libre appréciation des preuves et du devoir qui en découle de procéder à une appréciation complète, rigoureuse et objective des rapports médicaux, en relation avec leur contenu ( ATF 132 V 393 consid. 4.1 p. 400).</w:t>
      </w:r>
    </w:p>
    <w:p>
      <w:r>
        <w:rPr>
          <w:b/>
        </w:rPr>
        <w:t>E. 3</w:t>
      </w:r>
    </w:p>
    <w:p>
      <w:r>
        <w:t>En substance, la recourante reproche à l'office AI et aux premiers juges de n'avoir pas donné suite à une proposition de question complémentaire à poser aux experts du COMAI, ce qui constituerait une violation de son droit d'être entendue au sens de l' art. 29 al. 2 Cst. et justifierait le renvoi de la cause à l'administration. Elle fait également grief aux premiers juges d'avoir méconnu la force probante supérieure de l'expertise réalisée par le COMAI.</w:t>
      </w:r>
    </w:p>
    <w:p>
      <w:r>
        <w:rPr>
          <w:b/>
        </w:rPr>
        <w:t>E. 4.1</w:t>
      </w:r>
    </w:p>
    <w:p>
      <w:r>
        <w:t>La violation du droit d'être entendu (sur cette notion en corrélation avec l'administration de preuves, cf. ATF 130 II 425 consid. 2.1 p. 429, 119 Ib 492 consid. 5b/bb p. 505) dans le sens invoqué par l'intéressée est une question qui n'a pas de portée propre par rapport au grief tiré d'une mauvaise appréciation des preuves. Le juge peut effectivement renoncer à accomplir certains actes d'instruction sans que cela n'entraîne une violation du droit d'être entendu (SVR 2001 IV n° 10 p. 27 consid. 4b)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Ueli Kieser, Das Verwaltungsverfahren in der Sozialversicherung, p. 212 n° 450; Kölz/Häner, Verwaltungsverfahren und Verwaltungsrechtspflege des Bundes, 2ème éd., p. 39, n° 111 et p. 117, n° 320; Fritz Gygi, Bundesverwaltungsrechtspflege, 2ème éd. p. 274).</w:t>
      </w:r>
    </w:p>
    <w:p>
      <w:r>
        <w:rPr>
          <w:b/>
        </w:rPr>
        <w:t>E. 4.2.1</w:t>
      </w:r>
    </w:p>
    <w:p>
      <w:r>
        <w:t>En l'espèce, les premiers juges ont considéré que l'office AI n'avait pas à inviter les experts du COMAI à se prononcer sur la réalisation des critères jurisprudentiels pour juger du caractère invalidant d'un trouble somatoforme douloureux. La réponse à cette question figurait en effet dans le dossier médical en sa possession. Qui plus est, il appartenait à l'administration ou au juge (et non aux experts) de trancher la question juridique de savoir si et dans quelle mesure on pouvait exiger de l'assurée qu'elle mette en oeuvre toute sa volonté pour surmonter ses douleurs et réintégrer le monde du travail.</w:t>
      </w:r>
    </w:p>
    <w:p>
      <w:r>
        <w:rPr>
          <w:b/>
        </w:rPr>
        <w:t>E. 4.2.2</w:t>
      </w:r>
    </w:p>
    <w:p>
      <w:r>
        <w:t>Dans le cas d'une symptomatique douloureuse sans substrat organique objectivable, la mission d'expertise consiste surtout à porter une appréciation sur la vraisemblance de l'état douloureux et, le cas échéant, à déterminer si la personne expertisée dispose des ressources psychiques lui permettant de surmonter cet état. Le Tribunal fédéral a mis en évidence l'existence de facteurs déterminés qui, par leur intensité et leur constance, rendent la personne incapable de fournir cet effort de volonté. Eu égard à la mission qui leur est confiée, les experts failliraient à celle-ci s'ils ne tenaient pas compte de ces différents critères dans le cadre de leur appréciation médicale ( ATF 132 V 65 consid. 4.2 et 4.3 p. 70).</w:t>
      </w:r>
    </w:p>
    <w:p>
      <w:r>
        <w:rPr>
          <w:b/>
        </w:rPr>
        <w:t>E. 4.2.3</w:t>
      </w:r>
    </w:p>
    <w:p>
      <w:r>
        <w:t>Dans la mesure où les experts du COMAI n'avaient pas intégré les différents critères dégagés par la jurisprudence dans leur appréciation de la situation médicale, l'expertise était effectivement incomplète. Cela étant, pour les motifs invoqués par les premiers juges, il ne se justifiait pas en l'occurrence de donner suite à la requête de la recourante. Auxdits motifs, il convient d'ajouter que l'office AI avait, après avoir pris connaissance des conclusions de l'expertise, demandé aux experts d'établir si, au regard des précisions apportées par la jurisprudence concernant les troubles somatoformes douloureux, il existait une atteinte à la santé invalidante entraînant une incapacité de travail de longue durée. A cette question, les experts ont objecté qu'il ne leur appartenait pas d'y répondre, car l'application de la jurisprudence du Tribunal fédéral était de la compétence de l'office AI et le point de vue qui était le leur était strictement d'ordre médical. A teneur de cette réponse, il apparaît douteux que la question de la recourante eut reçu une réponse différente de celle déjà donnée par les experts. La mesure d'instruction demandée par la recourante était à tout point de vue superflue.</w:t>
      </w:r>
    </w:p>
    <w:p>
      <w:r>
        <w:rPr>
          <w:b/>
        </w:rPr>
        <w:t>E. 5.1</w:t>
      </w:r>
    </w:p>
    <w:p>
      <w:r>
        <w:t>A l'appui de son recours, la recourante prétend également que la structure plus détaillée du rapport d'expertise du COMAI devait lui conférer une valeur probante supérieure à celle du rapport établi par le SMR. La recevabilité de ce moyen, tel qu'il est présenté, est pour le moins douteuse, dans la mesure où la recourante ne tire de son argumentation aucune conséquence juridique en sa faveur. Quoiqu'il en soit, l'affirmation de la recourante n'est pas fondée.</w:t>
      </w:r>
    </w:p>
    <w:p>
      <w:r>
        <w:rPr>
          <w:b/>
        </w:rPr>
        <w:t>E. 5.2</w:t>
      </w:r>
    </w:p>
    <w:p>
      <w:r>
        <w:t>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Si la provenance et la qualité formelle sont des facteurs permettant de pondérer la portée de différents rapports médicaux, seul leur contenu matériel permet de porter en définitive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une expertise présentée par une partie peut ainsi également valoir comme moyen de preuve. Pour qu'un avis médical puisse être écarté, il est nécessaire qu'il existe des circonstances particulières qui permettent de justifier objectivement les doutes émis quant à l'impartialité ou au bien-fondé de l'évaluation (cf. ATF 125 V 351 consid. 3b p. 352).</w:t>
      </w:r>
    </w:p>
    <w:p>
      <w:r>
        <w:rPr>
          <w:b/>
        </w:rPr>
        <w:t>E. 5.3</w:t>
      </w:r>
    </w:p>
    <w:p>
      <w:r>
        <w:t>En tant que la recourante ne s'en prend qu'à la qualité formelle du rapport établi par le SMR, ses critiques se révèlent vaines. Aussi bien le rapport du COMAI que celui du SMR répondent aux critères formels dégagés par la jurisprudence (cf. supra consid. 2.1). Ils contiennent tous les deux une anamnèse complète et un condensé des renseignements tirés du dossier; ils font également état des indications subjectives délivrées par l'intéressée ainsi que du résultat des observations faites au cours des examens cliniques (rhumatologique et psychiatrique); ils s'achèvent pour finir par une discussion exhaustive de l'ensemble des renseignements recueillis et une appréciation motivée de la capacité résiduelle de travail. Cela étant, le simple fait que le rapport du COMAI soit subdivisé en un plus grand nombre de chapitres ne saurait lui conférer une valeur probante plus importante.</w:t>
      </w:r>
    </w:p>
    <w:p>
      <w:r>
        <w:rPr>
          <w:b/>
        </w:rPr>
        <w:t>E. 6</w:t>
      </w:r>
    </w:p>
    <w:p>
      <w:r>
        <w:t>A l'issue de l'appréciation de l'ensemble des preuves en présence, aussi bien l'office AI que les premiers juges sont parvenus à la conclusion qu'il convenait de suivre le point de vue du SMR. La recourante ne tente nullement d'établir dans son recours que le contenu du rapport médical établi par le SMR serait critiquable ou que l'expertise du COMAI serait plus convaincante. Faute de griefs motivés, il n'y a pas lieu de remettre en cause le résultat de cette appréciation.</w:t>
      </w:r>
    </w:p>
    <w:p>
      <w:r>
        <w:rPr>
          <w:b/>
        </w:rPr>
        <w:t>E. 7</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