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9C_770/2015 vom 24. März 2016</w:t>
      </w:r>
    </w:p>
    <w:p>
      <w:r>
        <w:t>Bundesgericht, 2016-03-24, DE</w:t>
      </w:r>
    </w:p>
    <w:p>
      <w:r>
        <w:rPr>
          <w:b/>
        </w:rPr>
        <w:t xml:space="preserve">Quelle: </w:t>
      </w:r>
      <w:r>
        <w:t>https://mcp.opencaselaw.ch/entscheid/bger_9C_770_2015</w:t>
      </w:r>
    </w:p>
    <w:p>
      <w:r>
        <w:t>FR: TF 9C_770/2015 du 24 mars 2016</w:t>
      </w:r>
    </w:p>
    <w:p>
      <w:r>
        <w:t>IT: TF 9C_770/2015 del 24 marzo 2016</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Nach Art. 53 Abs. 2 ATSG kann die IV-Stelle jederzeit auf formell rechtskräftige Verfügungen oder Einspracheentscheide zurückkommen, wenn diese zweifellos unrichtig sind und wenn ihre Berichtigung von erheblicher Bedeutung ist. Mit der gleichen Begründung kann die Beschwerdeinstanz die zunächst auf Art. 17 ATSG gestützte Rentenaufhebung resp. -herabsetzung schützen (SVR 2011 IV Nr. 20 S. 53, 9C_303/2010 E. 4).</w:t>
      </w:r>
    </w:p>
    <w:p>
      <w:r>
        <w:t>Das Erfordernis der zweifellosen Unrichtigkeit ist in der Regel erfüllt, wenn eine Leistungszusprechung aufgrund falsch oder unzutreffend verstandener Rechtsregeln erfolgt ist oder wenn massgebliche Bestimmungen nicht oder unrichtig angewandt wurden.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2015 BVG Nr. 43 S. 166, 9C_58/2015 E. 3.3.1 mit Hinweisen auf BGE 138 V 324 E. 3.3 S. 328; Urteil 9C_125/2013 vom 12. Februar 2014 E. 4.1, nicht publ. in: BGE 140 V 15 , aber in: SVR 2013 IV Nr. 10 S. 39).</w:t>
      </w:r>
    </w:p>
    <w:p>
      <w:r>
        <w:rPr>
          <w:b/>
        </w:rPr>
        <w:t>E. 2.2</w:t>
      </w:r>
    </w:p>
    <w:p>
      <w:r>
        <w:t>Liegt in diesem Sinn ein Rückkommenstitel vor, gilt es grundsätzlich, mit Wirkung ex nunc et pro futuro einen rechtskonformen Zustand herzustellen. Dabei ist wie bei einer materiellen Revision nach Art. 17 Abs. 1 ATSG auf der Grundlage eines richtig und vollständig festgestellten Sachverhalts der Invaliditätsgrad im Zeitpunkt der Verfügung über die Herabsetzung oder Aufhebung einer Rente zu ermitteln (vgl. Art. 85 Abs. 2 in Verbindung mit Art. 88</w:t>
      </w:r>
    </w:p>
    <w:p>
      <w:r>
        <w:t>bis Abs. 2 IVV; Urteil 9C_173/2015 vom 29. Juni 2015 E. 2.2 mit Hinweisen).</w:t>
      </w:r>
    </w:p>
    <w:p>
      <w:r>
        <w:rPr>
          <w:b/>
        </w:rPr>
        <w:t>E. 3</w:t>
      </w:r>
    </w:p>
    <w:p>
      <w:r>
        <w:t>Das kantonale Gericht hat festgestellt, dass die Aufnahme der Erwerbstätigkeit am 1. Januar 2011 bereits vor Erlass der Verfügung vom 7. Dezember 2011 aktenkundig gewesen sei. Es ist indessen der Auffassung, es könne offenbleiben, ob der rentenzusprechenden und der rentenherabsetzenden Verfügung die selben einkommensrelevanten Tatsachen zugrunde lagen (vgl. Art. 17 Abs. 1 ATSG ) und ob das tatsächliche Invalideneinkommen im Jahre 2011 ebenfalls zu einem Anspruch auf eine Dreiviertelsrente geführt hätte. Denn die rentenzusprechende Verfügung sei zweifellos unrichtig gewesen und im Sinne von Art. 53 Abs. 2 ATSG in Wiedererwägung zu ziehen. Sodann hat die Vorinstanz den durch die Verwaltung in der angefochtenen Verfügung ermittelten Invaliditätsgrad von 69 % bestätigt und folglich die auf Ende September 2014 angeordnete Rentenaufhebung mit substituierter Begründung geschützt.</w:t>
      </w:r>
    </w:p>
    <w:p>
      <w:r>
        <w:t>Der Beschwerdeführer stellt in Abrede, dass die ursprüngliche Rentenzusprache zweifellos unrichtig erfolgte. Sodann hält er die Invaliditätsbemessung insbesondere im Zeitpunkt der Rentenaufhebung für unzutreffend.</w:t>
      </w:r>
    </w:p>
    <w:p>
      <w:r>
        <w:rPr>
          <w:b/>
        </w:rPr>
        <w:t>E. 4.1.1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4.1.2</w:t>
      </w:r>
    </w:p>
    <w:p>
      <w:r>
        <w:t>Für die Ermittlung des Valideneinkommens ist entscheidend, was die versicherte Person im massgebenden Zeitpunkt des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 134 V 322 E. 4.1 S. 325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134 V 322 E. 4.1 S. 326 mit Hinweisen; Urteil 8C_868/2013 vom 27. Juni 2014 E. 5.1).</w:t>
      </w:r>
    </w:p>
    <w:p>
      <w:r>
        <w:rPr>
          <w:b/>
        </w:rPr>
        <w:t>E. 4.1.3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135 V 297 E. 5.2 S. 301).</w:t>
      </w:r>
    </w:p>
    <w:p>
      <w:r>
        <w:rPr>
          <w:b/>
        </w:rPr>
        <w:t>E. 4.2.1</w:t>
      </w:r>
    </w:p>
    <w:p>
      <w:r>
        <w:t>Die Vorinstanz hat (zutreffend) festgestellt, dass die Verwaltung in ihrer ursprünglichen Rentenverfügung vom 7. Dezember 2011 das Invalideneinkommen aufgrund der hypothetischen Annahme einer zumutbaren Tätigkeit im Rahmen eines geschützten Arbeitsplatzes im Pensum von 35 % festgesetzt habe. Sie hat - unter Berücksichtigung der soeben erwähnten Grundsätze (E. 4.1.3) - erwogen, die Rentenzusprache habe auf einem fehlerhaften Einkommensvergleich beruht, weil die IV-Stelle nicht das tatsächlich (im Rahmen der Anfang 2011 neu aufgenommenen Tätigkeit) erzielte Einkommen berücksichtigt habe. Diesbezüglich seien zu Unrecht keine weiteren Abklärungen getroffen worden. Die korrekte Anwendung der bundesgerichtlichen Rechtsprechung hätte zu einer anderen Invaliditätsbemessung geführt.</w:t>
      </w:r>
    </w:p>
    <w:p>
      <w:r>
        <w:rPr>
          <w:b/>
        </w:rPr>
        <w:t>E. 4.2.2</w:t>
      </w:r>
    </w:p>
    <w:p>
      <w:r>
        <w:t>Dieser Auffassung des kantonalen Gerichts ist beizupflichten. Insbesondere ist kein Grund ersichtlich, weshalb das tatsächliche Einkommen bei der Berechnung des Invaliditätsgrades nicht massgeblich sein sollte (vgl. E. 4.1.3). Indessen genügt für die Wiedererwägung der rentenzusprechenden Verfügung eine rechtsfehlerhafte Invaliditätsbemessung allein nicht. Vielmehr ist erforderlich, dass auch die Rentenzusprache selber zweifellos unrichtig war (vgl. E. 2.1 Abs. 2). Wie es sich damit verhält, braucht an dieser Stelle nicht geprüft zu werden. Zunächst ist die Invaliditätsbemessung des Jahres 2014 (im Zeitpunkt der verfügten Rentenherabsetzung), insbesondere mit Blick auf das dabei massgebliche Valideneinkommen, näher zu betrachten.</w:t>
      </w:r>
    </w:p>
    <w:p>
      <w:r>
        <w:rPr>
          <w:b/>
        </w:rPr>
        <w:t>E. 4.3</w:t>
      </w:r>
    </w:p>
    <w:p>
      <w:r>
        <w:t>Bei der Festsetzung des Valideneinkommens handelt es sich um eine vom Bundesgericht eingeschränkt überprüfbare Tatfrage, soweit dessen Ermittlung auf konkreter Beweiswürdigung beruht. Demgegenüber stellt sie eine Rechtsfrage dar, soweit sich der Entscheid nach der allgemeinen Lebenserfahrung richtet. Dies betrifft etwa die Frage, ob Tabellenlöhne anwendbar sind ( BGE 132 V 393 E. 3.3 S. 399; Urteil 8C_868/2013 vom 27. Juni 2014 E. 5.1 mit weiteren Hinweisen).</w:t>
      </w:r>
    </w:p>
    <w:p>
      <w:r>
        <w:rPr>
          <w:b/>
        </w:rPr>
        <w:t>E. 4.4.1</w:t>
      </w:r>
    </w:p>
    <w:p>
      <w:r>
        <w:t>Die IV-Stelle berücksichtigte in ihrer Verfügung vom 6. August 2014 gestützt auf die Angaben der früheren Arbeitgeberin (Arbeitgeberbericht vom 13. August 2003) 13 Monatslöhne zu Fr. 4'525.-, d.h. ein Jahreseinkommen 2003 von Fr. 58'825.-; davon ausgehend legte sie das Valideneinkommen, "indexiert per 2013", auf Fr. 65'663.- fest. Die Vorinstanz hat erwogen, im genannten Arbeitgeberbericht sei von Juli 2002 (Beginn des Arbeitsverhältnisses) bis Juni 2003 ein Gesamteinkommen von Fr. 53'131.45 ersichtlich, was dafür spreche, dass geltend gemachte Boni nicht regelmässig und konstant gleich hoch ausgefallen seien. Zudem habe die SUVA damals ein Taggeld von Fr. 138.55 errechnet, was auf einen versicherten Verdienst von Fr. 63'213.45 schliessen lasse. Das von der IV-Stelle ermittelte Valideneinkommen erscheine somit eher wohlwollend.</w:t>
      </w:r>
    </w:p>
    <w:p>
      <w:r>
        <w:t>Diese Beweiswürdigung ist unvollständig und widersprüchlich, weshalb sie nicht verbindlich (E. 1) ist: Im Arbeitgeberbericht sind Lohnzahlungen für lediglich 13 Monate aufgeführt. Ersatzleistungen wie allfällige Taggelder für die ausgewiesenen 48 Absenztage wegen Arbeitsunfähigkeit waren dabei nicht zu berücksichtigen, und ausserdem fehlte bei den Lohnzahlungen des Jahres 2003 der Anteil des 13. Monatslohnes. Die angegebene Lohnsumme von Fr. 53'131.45 lässt daher keinen Rückschluss auf die Regelmässigkeit von Boni oder auf die Höhe des Einkommens ohne (weitere) Gesundheitsbeeinträchtigung zu. Sodann beruhte die Berechnung des SUVA-Taggeldes auf der Unfallmeldung vom 2. Juli 2003 und somit ebenfalls auf Angaben der Arbeitgeberin (versicherter Verdienst 2003: Fr. 63'213.45). Weshalb diese von jenen gegenüber der IV-Stelle (Jahreseinkommen 2003: Fr. 58'825.-) abwichen, ist nicht nachvollziehbar. Schliesslich verkannte die Vorinstanz in ihrem abschliessenden Vergleich, dass der versicherte Verdienst unter Berücksichtigung der Nominallohnentwicklung (Indexpunkte Männer 2003: 1958; 2014: 2220) im massgeblichen Vergleichsjahr 2014 Fr. 71'672.- betragen hätte.</w:t>
      </w:r>
    </w:p>
    <w:p>
      <w:r>
        <w:rPr>
          <w:b/>
        </w:rPr>
        <w:t>E. 4.4.2</w:t>
      </w:r>
    </w:p>
    <w:p>
      <w:r>
        <w:t>Weiter liess das kantonale Gericht ausser Acht, dass der Versicherte seine Ausbildung zum Elektromechaniker (heutige Bezeichnung: Automatiker; zum Berufsbild vgl. Art. 1 der Verordnung des SBFI vom 3. November 2008 über die berufliche Grundbildung Automatikerin/Automatiker mit eidgenössischem Fähigkeitszeugnis       [SR 412.101.220.91]; http://www.berufsberatung.ch/dyn/1199.aspx?data=activity&amp;id=3794) im Sommer 2001 beendete und, nach temporären Einsätzen, im Juli 2002 seine erste reguläre Stelle als "Mitarbeiter Betriebsunterhalt" antrat. Angesichts dieser Umstände sowie der Angaben des Versicherten gegenüber dem behandelnden Arzt (Bericht des Dr. med. B.________ vom 10. September 2003) und der IV-Stelle (Bericht der Berufsberatung vom 16. März 2004) ist fraglich, ob die bisherige Tätigkeit beim damaligen Arbeitgeber ohne die Verschlimmerung des Gesundheitsschadens tatsächlich über weitere elf Jahre fortgeführt worden wäre (E. 4.1.2). Ausserdem ist es notorisch, dass junge Berufseinsteiger in der Regel einen geringeren Verdienst erzielen als ältere Arbeitnehmer mit längerer berufsspezifischer Erfahrung (vgl. etwa Art. 26 Abs. 1 IVV ; Lohnstrukturerhebung [LSE] 2012 des Bundesamtes für Statistik, Tabelle T17); wird an den 2003 erzielten Lohn angeknüpft und allein die Nominallohnentwicklung eingerechnet, resultiert ein unterdurchschnittliches Einkommen (vgl. E. 4.1.2). Gemäss LSE 2012, Tabelle TA1, erzielten Männer bei der Herstellung von elektrischen Ausrüstungen (Zeile 27) im Kompetenzniveau 2 einen durchschnittlichen Monatslohn von Fr. 6'088.-. Unter Berücksichtigung der betriebsüblichen Wochenarbeitszeit und der Nominallohnentwicklung beträgt das mittlere Einkommen 2014 Fr. 75'792.- (Fr. 6'088 x 12 : 40 x 40,9 : 2188 x 2220).</w:t>
      </w:r>
    </w:p>
    <w:p>
      <w:r>
        <w:rPr>
          <w:b/>
        </w:rPr>
        <w:t>E. 4.4.3</w:t>
      </w:r>
    </w:p>
    <w:p>
      <w:r>
        <w:t>Schliesslich stellt sich die Frage, ob die Vorinstanz zu Recht davon ausgegangen ist, dass die derzeitige Tätigkeit als "Hausmeister" keinen Rückschluss auf die Validenkarriere resp. das Valideneinkommen zulasse, da es sich dabei nicht um seine angestammte Tätigkeit als Elektromechaniker handle. Wohl darf aus einer erfolgreichen Invalidenkarriere in einem neuen Tätigkeitsbereich nicht ohne Weiteres abgeleitet werden, die versicherte Person hätte ohne Invalidität eine vergleichbare Position auch im angestammten Tätigkeitsgebiet erreicht (Urteile 8C_502/2015 vom 26. Oktober 2015 E. 3.1.2; 9C_607/2012 vom 17. April 2013 E. 3, je mit Hinweisen). Indessen ist ein solcher Schluss zulässig, sofern die konkreten Umstände dafür sprechen. So scheint, dass die angestammte Tätigkeit als "Mitarbeiter Betriebsunterhalt" gewisse Überschneidungen mit jener als "Mitarbeiter Techn. Dienst / Sicherheitsbeauftragter" aufweist. Für die derzeitige Arbeit war denn auch keine zusätzliche Aus- oder Weiterbildung erforderlich. Sodann ist die Mutter des Versicherten Hauswirtschaftsleiterin des Altersheimes, in dem er arbeitet. Schliesslich ist die Arbeitgeberin mit seinen Leistungen zufrieden und würde ihn, "wenn er mehr könnte", "in einem höheren Prozentgrad beschäftigen". Bei einem Pensum von rund 20 % erzielte er 2011 bis 2014 ein durchschnittliches Einkommen von Fr. 20'378.-. Hochgerechnet auf ein volles Pensum und unter Abzug der im Lohn enthaltenen Ferienentschädigung (10,64 %) resultiert ein Jahreseinkommen von rund Fr. 85'000.-. Diese Gegebenheiten, welche das kantonale Gericht unbeachtet liess, sprechen eher dafür, vom Invaliden- auf das Valideneinkommen zu schliessen.</w:t>
      </w:r>
    </w:p>
    <w:p>
      <w:r>
        <w:rPr>
          <w:b/>
        </w:rPr>
        <w:t>E. 4.5</w:t>
      </w:r>
    </w:p>
    <w:p>
      <w:r>
        <w:t>Nach dem Gesagten beruht die vorinstanzliche Festsetzung des Valideneinkommens 2014 auf einer Rechtsverletzung, weshalb sie für das Bundesgericht nicht verbindlich ist (E. 1). Ob das Valideneinkommen auf der Basis eines Tabellenwertes (E. 4.4.2) oder des Invalidenlohnes (E. 4.4.3) festzulegen ist, kann offenbleiben. Selbst wenn vom versicherten Verdienst 2003 auszugehen ist, wie der Beschwerdeführer geltend macht, ist es mit Fr. 71'672.- zu veranschlagen (vgl. E. 4.4.1). Bei Berücksichtigung des Invalideneinkommens von Fr. 20'541.- gemäss Verfügung vom 6. August 2014 (der Durchschnittslohn war geringer; E. 4.4.3) resultiert ein Invaliditätsgrad von mindestens 71,34 %. Somit hat der Versicherte über den 30. September 2014 hinaus Anspruch auf eine ganze Invalidenrente ( Art. 28 Abs. 2 IVG ). Die Beschwerde ist begründet; mit der Aufhebung des angefochtenen Entscheids und der Verfügung vom 6. August 2014 hat es sein Bewenden.</w:t>
      </w:r>
    </w:p>
    <w:p>
      <w:r>
        <w:rPr>
          <w:b/>
        </w:rPr>
        <w:t>E. 5</w:t>
      </w:r>
    </w:p>
    <w:p>
      <w:r>
        <w:t>Dem Ausgang des Verfahrens entsprechend hat die Beschwerdegegnerin die Gerichtskosten zu tragen ( Art. 66 Abs. 1 BGG ). Der Beschwerdeführer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