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9C_769/2016 vom 29. Juni 2017</w:t>
      </w:r>
    </w:p>
    <w:p>
      <w:r>
        <w:t>Bundesgericht, 2017-06-29, DE</w:t>
      </w:r>
    </w:p>
    <w:p>
      <w:r>
        <w:rPr>
          <w:b/>
        </w:rPr>
        <w:t xml:space="preserve">Quelle: </w:t>
      </w:r>
      <w:r>
        <w:t>https://mcp.opencaselaw.ch/entscheid/bger_9C_769_2016</w:t>
      </w:r>
    </w:p>
    <w:p>
      <w:r>
        <w:t>FR: TF 9C_769/2016 du 29 juin 2017</w:t>
      </w:r>
    </w:p>
    <w:p>
      <w:r>
        <w:t>IT: TF 9C_769/2016 del 29 giugno 2017</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2</w:t>
      </w:r>
    </w:p>
    <w:p>
      <w:r>
        <w:t>Im angefochtenen Entscheid werden die Bestimmungen über den Rentenanspruch, insbesondere die im Fall der rückwirkenden Zusprechung einer befristeten Rente sinngemäss anwendbaren revisionsrechtlichen Normen ( Art. 17 ATSG ; Art. 88a Abs. 1 IVV ), sowie die Rechtsprechung zum Beweiswert ärztlicher Gutachten und Berichte zutreffend dargelegt. Darauf wird verwiesen.</w:t>
      </w:r>
    </w:p>
    <w:p>
      <w:r>
        <w:rPr>
          <w:b/>
        </w:rPr>
        <w:t>E. 3</w:t>
      </w:r>
    </w:p>
    <w:p>
      <w:r>
        <w:t>Streitig und zu prüfen bleibt allein die Frage, ob die Vorinstanz das Ende des Anspruchs auf eine ganze Invalidenrente bundesrechtskonform festgelegt hat.</w:t>
      </w:r>
    </w:p>
    <w:p>
      <w:r>
        <w:rPr>
          <w:b/>
        </w:rPr>
        <w:t>E. 4.1</w:t>
      </w:r>
    </w:p>
    <w:p>
      <w:r>
        <w:t>Die Vorinstanz erwog, gestützt auf die interdisziplinären Gutachten vom 18. Oktober 2013 sei dem Beschwerdeführer nach einer Phase vollständiger Arbeitsunfähigkeit die bisher ausgeübte Tätigkeit als Lastwagenschauffeur ab 1. April 2012 wieder zum Teil zumutbar. In einer leidensangepassten, leicht- bis maximal mittelgradig körperlich belastenden Arbeit (Heben von Gewichten bis 15 kg) bestehe eine volle Arbeitsfähigkeit, wobei die Möglichkeit sitzender, stehender und gehender Körperhaltung unter zwingender Einhaltung der Rücken-ergonomie gegeben sein müsse. Es könne aber auch mit der IV-Stelle (Verfügung vom 26. März 2014) davon ausgegangen werden, dass nur leichte, wechselbelastende Tätigkeiten ohne Vorbeugung, Kniehockpositionen und ohne Arbeiten auf Unebenheiten sowie mit den Armen unterhalb der Horizontalen zumutbar seien, weil die Berücksichtigung dieser Vorgaben am Ergebnis nichts ändere. Per 1. April 2012 sei von einer wesentlichen Änderung des Gesundheitszustandes bzw. der Erwerbsfähigkeit auszugehen, sodass die Invalidenrente mit Wirkung auf 1. Juli 2012 ( Art. 88a Abs. 1 IVV ) an den neu vorliegenden Sachverhalt anzupassen sei.</w:t>
      </w:r>
    </w:p>
    <w:p>
      <w:r>
        <w:t>Aus der Gegenüberstellung der beiden Vergleichseinkommen (Valideneinkommen von Fr. 63'273.60 [entsprechend dem vom Beschwerdeführer zuletzt bei der B.________ AG erzielten Verdienst]; Invalideneinkommen [nach Parallelisierung] von Fr. 60'614.70 [ermittelt anhand von Tabellenlöhnen]) resultiere ab 1. April 2012 ein Invaliditätsgrad von 4 %. Es könne offen gelassen werden, in welchem Ausmass ein leidensbedingter Abzug vorzunehmen sei, weil selbst bei einer Reduktion um 20 %, wie sie der Beschwerdeführer fordere, ein Invaliditätsgrad von weniger als 40 % resultiere. Der Rentenanspruch sei demgemäss auf 30. Juni 2012 zu befristen.</w:t>
      </w:r>
    </w:p>
    <w:p>
      <w:r>
        <w:rPr>
          <w:b/>
        </w:rPr>
        <w:t>E. 4.2</w:t>
      </w:r>
    </w:p>
    <w:p>
      <w:r>
        <w:t>In der Beschwerde wird der bereits im kantonalen Verfahren vorgebrachte Einwand wiederholt, das interdisziplinäre Gutachten des Dr. med. D.________ (dessen Kompetenz als Rheumatologe, die hier vorliegenden Einschränkungen am Bewegungsapparat zu beurteilen, der Beschwerdeführer zu Unrecht anzweifelt) vom 18. Oktober 2013 sei unvollständig und widersprüchlich. Das Kantonsgericht hat dieses Vorbringen überzeugend entkräftet und dargelegt, weshalb auf das Gutachten vom 18. Oktober 2013, insbesondere auch in Bezug auf die hier interessierende Zeit ab 1. April 2012, abzustellen ist; es kann im Rahmen der gesetzlichen Kognition (E. 1) auf die zutreffenden vorinstanzlichen Erwägungen verwiesen werden. Der Beschwerdeführer will nicht zur Kenntnis nehmen, dass Dr. med. D.________ nachvollziehbar begründete, weshalb er die Leistungsfähigkeit des linken Armes anders als der Kreisarzt (Bericht vom 9. November 2012) beurteilte, und dass der sich im Wesentlichen auf die subjektiven Schmerzangaben des Versicherten stützende Bericht des Dr. med. F.________ vom 22. Juli 2013 nicht aussagekräftig ist. Er übt unzulässige appellatorische Kritik an der vorinstanzlichen Beweiswürdigung, wenn er seine eigene Sichtweise wiedergibt, wie die medizinischen Akten zu würdigen seien (Art. 97 Abs. 1 und Art. 105 Abs. 1 und 2 BGG ; BGE 137 II 353 E. 5.1 S. 356).</w:t>
      </w:r>
    </w:p>
    <w:p>
      <w:r>
        <w:rPr>
          <w:b/>
        </w:rPr>
        <w:t>E. 4.3</w:t>
      </w:r>
    </w:p>
    <w:p>
      <w:r>
        <w:t>Der Versicherte stellt sich weiter auf den Standpunkt, entgegen dem angefochtenen Entscheid sei die verbliebene Restarbeitsfähigkeit - welche nach der Vorinstanz alleine für die Tätigkeit als Lastwagenchauffeur bestehe - auf dem ausgeglichenen Arbeitsmarkt realistischerweise nicht mehr verwertbar. Angesichts des Zumutbarkeits-profils und der Tatsache, dass er während der letzten Jahrzehnte als Einzelgänger mit einer gewissen Freiheit als Lastwagenchauffeur gearbeitet habe, könne ausgeschlossen werden, dass er im Alter von 60 ½ Jahren eine Stelle gefunden hätte.</w:t>
      </w:r>
    </w:p>
    <w:p>
      <w:r>
        <w:t>Zu Unrecht geht der Beschwerdeführer davon aus, dass er nach dem angefochtenen Entscheid lediglich noch als Lastwagenchauffeur eingesetzt werden könnte. Die Vorinstanz stellte (neben einer Teilarbeitsfähigkeit als Lastwagenchauffeur) unmissverständlich fest, dass der Beschwerdeführer in leidensangepassten, d.h. auf jeden Fall in leichten, wechselbelastenden Tätigkeiten voll arbeitsfähig ist. Derartige körperlich leichte Hilfstätigkeiten werden nun aber auf dem massgebenden hypothetischen ausgeglichenen Arbeitsmarkt ( Art. 16 ATSG ) grundsätzlich altersunabhängig nachgefragt (vgl. Urteil 9C_134/2016 vom 12. April 2016 E. 5.3 mit Hinweis). Unverwertbarkeit der Restarbeitsfähigkeit wäre erst anzunehmen, wenn weitere Ein-schränkungen (beruflicher oder persönlicher Art) hinzukämen und dazu führen würden, dass die zumutbare Tätigkeit nur in so eingeschränkter Form möglich wäre, dass sie der ausgeglichene Arbeitsmarkt praktisch nicht kennen würde und das Finden einer entsprechenden Stelle daher von vornherein als ausgeschlossen erschiene (SVR 2016 IV Nr. 3 S. 7, 8C_582/2015 E. 5.11; vgl. auch BGE 138 V 457 E. 3.1 S. 459 f.). Die Vorinstanz hat kein Bundesrecht verletzt, wenn sie erkannt hat, dass eine derartige Konstellation im Falle des in einer leichten Hilfstätigkeit vollschichtig einsetzbaren Beschwerde-führers nicht vorliegt.</w:t>
      </w:r>
    </w:p>
    <w:p>
      <w:r>
        <w:rPr>
          <w:b/>
        </w:rPr>
        <w:t>E. 4.4</w:t>
      </w:r>
    </w:p>
    <w:p>
      <w:r>
        <w:t>Die Invaliditätsbemessung, insbesondere die Festsetzung der beiden hypothetischen Vergleichseinkommen, ist nicht bestritten. Am Ergebnis, dass ab 1. April 2012 kein rentenbegründender Invaliditätsgrad mehr besteht und die Rente auf 30. Juni 2012 zu befristen ist, würde sich auch dann nichts ändern, wenn mit der Verwaltung für das Valideneinkommen nicht auf den bei der B.________ AG als letzter Arbeitgeberin erzielten Verdienst, sondern auf Tabellenlöhne abgestellt würde (was sich rechtfertigen könnte mit Blick darauf, dass der Beschwerdeführer diese Stelle nach den Akten [Arbeitgeberfragebogen vom 21. Mai 2010 und Kündigung vom 16. November 2009] aus invaliditätsfremden Gründen verloren zu haben scheint und als Gesunder überwiegend wahrscheinlich nicht mehr dort tätig wäre [vgl. dazu SVR 2009 IV Nr. 58 S. 181, 9C_5/2009 E. 2.3]). Bei dieser Sachlage erübrigen sich Weiterungen.</w:t>
      </w:r>
    </w:p>
    <w:p>
      <w:r>
        <w:rPr>
          <w:b/>
        </w:rPr>
        <w:t>E. 4.5</w:t>
      </w:r>
    </w:p>
    <w:p>
      <w:r>
        <w:t>Nach dem Gesagten hat es mit dem vorinstanzlichen Entscheid sein Bewenden.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